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971"/>
      </w:tblGrid>
      <w:tr w:rsidR="00F5454C" w14:paraId="730B5190" w14:textId="77777777" w:rsidTr="00121299">
        <w:tc>
          <w:tcPr>
            <w:tcW w:w="9634" w:type="dxa"/>
            <w:gridSpan w:val="2"/>
          </w:tcPr>
          <w:p w14:paraId="777C3507" w14:textId="77777777" w:rsidR="005B1CA0" w:rsidRPr="00354ED9" w:rsidRDefault="00000000" w:rsidP="00017468">
            <w:pPr>
              <w:jc w:val="both"/>
              <w:rPr>
                <w:rFonts w:ascii="Cambria" w:hAnsi="Cambria"/>
                <w:b/>
                <w:bCs/>
                <w:iCs/>
              </w:rPr>
            </w:pPr>
            <w:r w:rsidRPr="00354ED9">
              <w:rPr>
                <w:rFonts w:ascii="Cambria" w:hAnsi="Cambria"/>
                <w:b/>
                <w:bCs/>
              </w:rPr>
              <w:t xml:space="preserve">Improving Inceptisol Soil Fertility using Caterpillar Epigenetics: </w:t>
            </w:r>
            <w:r w:rsidRPr="00354ED9">
              <w:rPr>
                <w:rFonts w:ascii="Cambria" w:hAnsi="Cambria"/>
                <w:b/>
                <w:bCs/>
                <w:i/>
              </w:rPr>
              <w:t xml:space="preserve">Tenebrio molitor </w:t>
            </w:r>
            <w:r w:rsidRPr="00354ED9">
              <w:rPr>
                <w:rFonts w:ascii="Cambria" w:hAnsi="Cambria"/>
                <w:b/>
                <w:bCs/>
              </w:rPr>
              <w:t xml:space="preserve">(L.) Tenebrionidae. and </w:t>
            </w:r>
            <w:r w:rsidRPr="00354ED9">
              <w:rPr>
                <w:rFonts w:ascii="Cambria" w:hAnsi="Cambria"/>
                <w:b/>
                <w:bCs/>
                <w:i/>
              </w:rPr>
              <w:t xml:space="preserve">Bombyx mori </w:t>
            </w:r>
            <w:r w:rsidRPr="00354ED9">
              <w:rPr>
                <w:rFonts w:ascii="Cambria" w:hAnsi="Cambria"/>
                <w:b/>
                <w:bCs/>
              </w:rPr>
              <w:t xml:space="preserve">Linnaeus. as Facilitator of Soil Nutrient Amelioration and Plant Growth of </w:t>
            </w:r>
            <w:r w:rsidRPr="00354ED9">
              <w:rPr>
                <w:rFonts w:ascii="Cambria" w:hAnsi="Cambria"/>
                <w:b/>
                <w:bCs/>
                <w:i/>
              </w:rPr>
              <w:t xml:space="preserve">Capsicum frutescens </w:t>
            </w:r>
            <w:r w:rsidRPr="00354ED9">
              <w:rPr>
                <w:rFonts w:ascii="Cambria" w:hAnsi="Cambria"/>
                <w:b/>
                <w:bCs/>
              </w:rPr>
              <w:t>‘Bird’s Eye’</w:t>
            </w:r>
          </w:p>
        </w:tc>
      </w:tr>
      <w:tr w:rsidR="00F5454C" w14:paraId="36A87314" w14:textId="77777777" w:rsidTr="00121299">
        <w:tc>
          <w:tcPr>
            <w:tcW w:w="9634" w:type="dxa"/>
            <w:gridSpan w:val="2"/>
          </w:tcPr>
          <w:p w14:paraId="1445039E" w14:textId="2E4C46B5" w:rsidR="00D839EA" w:rsidRPr="00354ED9" w:rsidRDefault="00000000" w:rsidP="00814D77">
            <w:pPr>
              <w:spacing w:before="20" w:after="20" w:line="240" w:lineRule="auto"/>
              <w:rPr>
                <w:rFonts w:ascii="Cambria" w:hAnsi="Cambria"/>
                <w:b/>
                <w:bCs/>
              </w:rPr>
            </w:pPr>
            <w:r w:rsidRPr="00354ED9">
              <w:rPr>
                <w:rFonts w:ascii="Cambria" w:eastAsia="Times New Roman" w:hAnsi="Cambria" w:cs="Times New Roman"/>
                <w:b/>
                <w:bCs/>
                <w:iCs/>
                <w:color w:val="000000"/>
                <w:sz w:val="24"/>
                <w:szCs w:val="24"/>
              </w:rPr>
              <w:t xml:space="preserve">Erwin Junaidi </w:t>
            </w:r>
            <w:r w:rsidR="00E07FE2" w:rsidRPr="00354ED9">
              <w:rPr>
                <w:rFonts w:ascii="Cambria" w:eastAsia="Times New Roman" w:hAnsi="Cambria" w:cs="Times New Roman"/>
                <w:b/>
                <w:bCs/>
                <w:iCs/>
                <w:color w:val="000000"/>
                <w:sz w:val="24"/>
                <w:szCs w:val="24"/>
              </w:rPr>
              <w:t>LUBIS</w:t>
            </w:r>
            <w:r w:rsidRPr="00354ED9">
              <w:rPr>
                <w:rFonts w:ascii="Cambria" w:eastAsia="Times New Roman" w:hAnsi="Cambria" w:cs="Times New Roman"/>
                <w:b/>
                <w:bCs/>
                <w:iCs/>
                <w:color w:val="000000"/>
                <w:sz w:val="24"/>
                <w:szCs w:val="24"/>
                <w:vertAlign w:val="superscript"/>
              </w:rPr>
              <w:t>1</w:t>
            </w:r>
          </w:p>
        </w:tc>
      </w:tr>
      <w:tr w:rsidR="00F5454C" w14:paraId="5F2092BF" w14:textId="77777777" w:rsidTr="00121299">
        <w:tc>
          <w:tcPr>
            <w:tcW w:w="9634" w:type="dxa"/>
            <w:gridSpan w:val="2"/>
          </w:tcPr>
          <w:p w14:paraId="7753A652" w14:textId="77777777" w:rsidR="005B1CA0" w:rsidRPr="00354ED9" w:rsidRDefault="00000000" w:rsidP="002E4049">
            <w:pPr>
              <w:spacing w:before="20" w:after="20" w:line="240" w:lineRule="auto"/>
              <w:jc w:val="both"/>
              <w:rPr>
                <w:rFonts w:ascii="Cambria" w:hAnsi="Cambria"/>
                <w:sz w:val="20"/>
                <w:szCs w:val="20"/>
              </w:rPr>
            </w:pPr>
            <w:r w:rsidRPr="00354ED9">
              <w:rPr>
                <w:rFonts w:ascii="Cambria" w:hAnsi="Cambria"/>
                <w:sz w:val="20"/>
                <w:szCs w:val="20"/>
                <w:vertAlign w:val="superscript"/>
              </w:rPr>
              <w:t>1</w:t>
            </w:r>
            <w:r w:rsidR="00C80B06" w:rsidRPr="00354ED9">
              <w:rPr>
                <w:rFonts w:ascii="Cambria" w:hAnsi="Cambria"/>
                <w:sz w:val="20"/>
                <w:szCs w:val="20"/>
              </w:rPr>
              <w:t>Department of Agricultural Sciences, Meranti Institute of Technology and Science, Kepulauan Meranti, Riau, Indonesia</w:t>
            </w:r>
          </w:p>
        </w:tc>
      </w:tr>
      <w:tr w:rsidR="00F5454C" w14:paraId="7CBF8250" w14:textId="77777777" w:rsidTr="00121299">
        <w:tc>
          <w:tcPr>
            <w:tcW w:w="6663" w:type="dxa"/>
            <w:vMerge w:val="restart"/>
          </w:tcPr>
          <w:p w14:paraId="7FAA8612" w14:textId="77777777" w:rsidR="005B1CA0" w:rsidRPr="00354ED9" w:rsidRDefault="00000000" w:rsidP="00814D77">
            <w:pPr>
              <w:spacing w:before="20" w:after="20"/>
              <w:jc w:val="both"/>
              <w:rPr>
                <w:rFonts w:ascii="Cambria" w:hAnsi="Cambria"/>
                <w:b/>
                <w:bCs/>
                <w:sz w:val="20"/>
                <w:szCs w:val="20"/>
              </w:rPr>
            </w:pPr>
            <w:r w:rsidRPr="00354ED9">
              <w:rPr>
                <w:rFonts w:ascii="Cambria" w:hAnsi="Cambria"/>
                <w:b/>
                <w:bCs/>
                <w:sz w:val="20"/>
                <w:szCs w:val="20"/>
              </w:rPr>
              <w:t>Abstract</w:t>
            </w:r>
          </w:p>
          <w:p w14:paraId="4BE654D4" w14:textId="77777777" w:rsidR="005B1CA0" w:rsidRPr="00354ED9" w:rsidRDefault="00000000" w:rsidP="00814D77">
            <w:pPr>
              <w:spacing w:before="20" w:after="20" w:line="240" w:lineRule="auto"/>
              <w:jc w:val="both"/>
              <w:rPr>
                <w:rFonts w:ascii="Cambria" w:hAnsi="Cambria"/>
                <w:sz w:val="18"/>
                <w:szCs w:val="18"/>
              </w:rPr>
            </w:pPr>
            <w:r w:rsidRPr="00354ED9">
              <w:rPr>
                <w:rFonts w:ascii="Cambria" w:hAnsi="Cambria"/>
                <w:sz w:val="18"/>
                <w:szCs w:val="18"/>
              </w:rPr>
              <w:t>The growth and development of the world's population necessitates the continued development of agriculture that will provide food for all living things, while reducing chemicals in agriculture. The use and rearing of insect caterpillars may increase in the next few years. Producing frass (insect caterpillar dung) from the frass of bamboo caterpillars or Hongkong caterpillars (Tenebrio molitor (L.) Tenebrionidae.) and silkworms (Bombyx mori Linnaeus.) can improve soil fertility and enhance the growth of red chilli (Capsicum frutescens ‘Bird's Eye’) plants. The minerals formed quickly and easily available in the soil in the form of available, and their efficiency is the same as inorganic fertilizers to increase biomass. Overall, the results showed that Hong Kong caterpillar frass (Tenebrio molitor L.) and silkworm frass (Bombyx mori Linnaeus.) have great potential as a substitute for Mineral NPK fertilizer. With the application of Hong Kong caterpillar frass (Tenebrio molitor (L.) Tenebrionidae.) and silkworm (Bombyx mori Linnaeus.), application with mineral fertilizer P (Phosphor) absorption concentration is five times lower and slower, with the presence of caterpillar frass will prevent loss in the soil and directly absorbed into the soil and needed by plants.</w:t>
            </w:r>
            <w:r w:rsidR="00A96584" w:rsidRPr="00354ED9">
              <w:rPr>
                <w:rFonts w:ascii="Cambria" w:hAnsi="Cambria"/>
                <w:sz w:val="18"/>
                <w:szCs w:val="18"/>
              </w:rPr>
              <w:t xml:space="preserve"> </w:t>
            </w:r>
          </w:p>
        </w:tc>
        <w:tc>
          <w:tcPr>
            <w:tcW w:w="2971" w:type="dxa"/>
          </w:tcPr>
          <w:p w14:paraId="5E511F42" w14:textId="77777777" w:rsidR="002E4049" w:rsidRPr="00354ED9" w:rsidRDefault="002E4049" w:rsidP="00814D77">
            <w:pPr>
              <w:spacing w:before="20" w:after="20"/>
              <w:rPr>
                <w:rFonts w:ascii="Cambria" w:hAnsi="Cambria"/>
                <w:sz w:val="20"/>
                <w:szCs w:val="20"/>
              </w:rPr>
            </w:pPr>
          </w:p>
          <w:p w14:paraId="69290370" w14:textId="77777777" w:rsidR="005B1CA0" w:rsidRPr="00354ED9" w:rsidRDefault="00000000" w:rsidP="00814D77">
            <w:pPr>
              <w:spacing w:before="20" w:after="20"/>
              <w:rPr>
                <w:rFonts w:ascii="Cambria" w:hAnsi="Cambria"/>
                <w:sz w:val="20"/>
                <w:szCs w:val="20"/>
              </w:rPr>
            </w:pPr>
            <w:r w:rsidRPr="00354ED9">
              <w:rPr>
                <w:rFonts w:ascii="Cambria" w:hAnsi="Cambria"/>
                <w:sz w:val="20"/>
                <w:szCs w:val="20"/>
              </w:rPr>
              <w:t>Article History</w:t>
            </w:r>
          </w:p>
          <w:p w14:paraId="20A8443A" w14:textId="684437BF" w:rsidR="001463BA" w:rsidRPr="001463BA" w:rsidRDefault="001463BA" w:rsidP="001463BA">
            <w:pPr>
              <w:spacing w:before="20" w:after="20"/>
              <w:rPr>
                <w:rFonts w:ascii="Cambria" w:hAnsi="Cambria"/>
                <w:sz w:val="18"/>
                <w:szCs w:val="18"/>
              </w:rPr>
            </w:pPr>
            <w:r w:rsidRPr="001463BA">
              <w:rPr>
                <w:rFonts w:ascii="Cambria" w:hAnsi="Cambria"/>
                <w:sz w:val="18"/>
                <w:szCs w:val="18"/>
              </w:rPr>
              <w:t>Received: 202</w:t>
            </w:r>
            <w:r>
              <w:rPr>
                <w:rFonts w:ascii="Cambria" w:hAnsi="Cambria"/>
                <w:sz w:val="18"/>
                <w:szCs w:val="18"/>
              </w:rPr>
              <w:t>4</w:t>
            </w:r>
            <w:r w:rsidRPr="001463BA">
              <w:rPr>
                <w:rFonts w:ascii="Cambria" w:hAnsi="Cambria"/>
                <w:sz w:val="18"/>
                <w:szCs w:val="18"/>
              </w:rPr>
              <w:t>-</w:t>
            </w:r>
            <w:r>
              <w:rPr>
                <w:rFonts w:ascii="Cambria" w:hAnsi="Cambria"/>
                <w:sz w:val="18"/>
                <w:szCs w:val="18"/>
              </w:rPr>
              <w:t>02</w:t>
            </w:r>
            <w:r w:rsidRPr="001463BA">
              <w:rPr>
                <w:rFonts w:ascii="Cambria" w:hAnsi="Cambria"/>
                <w:sz w:val="18"/>
                <w:szCs w:val="18"/>
              </w:rPr>
              <w:t>-04</w:t>
            </w:r>
          </w:p>
          <w:p w14:paraId="724E21FC" w14:textId="7F108DC2" w:rsidR="001463BA" w:rsidRPr="001463BA" w:rsidRDefault="001463BA" w:rsidP="001463BA">
            <w:pPr>
              <w:spacing w:before="20" w:after="20"/>
              <w:rPr>
                <w:rFonts w:ascii="Cambria" w:hAnsi="Cambria"/>
                <w:sz w:val="18"/>
                <w:szCs w:val="18"/>
              </w:rPr>
            </w:pPr>
            <w:r w:rsidRPr="001463BA">
              <w:rPr>
                <w:rFonts w:ascii="Cambria" w:hAnsi="Cambria"/>
                <w:sz w:val="18"/>
                <w:szCs w:val="18"/>
              </w:rPr>
              <w:t>Revised: 202</w:t>
            </w:r>
            <w:r>
              <w:rPr>
                <w:rFonts w:ascii="Cambria" w:hAnsi="Cambria"/>
                <w:sz w:val="18"/>
                <w:szCs w:val="18"/>
              </w:rPr>
              <w:t>4</w:t>
            </w:r>
            <w:r w:rsidRPr="001463BA">
              <w:rPr>
                <w:rFonts w:ascii="Cambria" w:hAnsi="Cambria"/>
                <w:sz w:val="18"/>
                <w:szCs w:val="18"/>
              </w:rPr>
              <w:t>-</w:t>
            </w:r>
            <w:r>
              <w:rPr>
                <w:rFonts w:ascii="Cambria" w:hAnsi="Cambria"/>
                <w:sz w:val="18"/>
                <w:szCs w:val="18"/>
              </w:rPr>
              <w:t>03</w:t>
            </w:r>
            <w:r w:rsidRPr="001463BA">
              <w:rPr>
                <w:rFonts w:ascii="Cambria" w:hAnsi="Cambria"/>
                <w:sz w:val="18"/>
                <w:szCs w:val="18"/>
              </w:rPr>
              <w:t>-02</w:t>
            </w:r>
          </w:p>
          <w:p w14:paraId="584F7EC7" w14:textId="2B73D4C2" w:rsidR="005B1CA0" w:rsidRPr="00354ED9" w:rsidRDefault="001463BA" w:rsidP="001463BA">
            <w:pPr>
              <w:spacing w:before="20" w:after="20"/>
              <w:rPr>
                <w:rFonts w:ascii="Cambria" w:hAnsi="Cambria"/>
                <w:sz w:val="18"/>
                <w:szCs w:val="18"/>
              </w:rPr>
            </w:pPr>
            <w:r w:rsidRPr="001463BA">
              <w:rPr>
                <w:rFonts w:ascii="Cambria" w:hAnsi="Cambria"/>
                <w:sz w:val="18"/>
                <w:szCs w:val="18"/>
              </w:rPr>
              <w:t>Accepted: 202</w:t>
            </w:r>
            <w:r>
              <w:rPr>
                <w:rFonts w:ascii="Cambria" w:hAnsi="Cambria"/>
                <w:sz w:val="18"/>
                <w:szCs w:val="18"/>
              </w:rPr>
              <w:t>4</w:t>
            </w:r>
            <w:r w:rsidRPr="001463BA">
              <w:rPr>
                <w:rFonts w:ascii="Cambria" w:hAnsi="Cambria"/>
                <w:sz w:val="18"/>
                <w:szCs w:val="18"/>
              </w:rPr>
              <w:t>-</w:t>
            </w:r>
            <w:r>
              <w:rPr>
                <w:rFonts w:ascii="Cambria" w:hAnsi="Cambria"/>
                <w:sz w:val="18"/>
                <w:szCs w:val="18"/>
              </w:rPr>
              <w:t>04</w:t>
            </w:r>
            <w:r w:rsidRPr="001463BA">
              <w:rPr>
                <w:rFonts w:ascii="Cambria" w:hAnsi="Cambria"/>
                <w:sz w:val="18"/>
                <w:szCs w:val="18"/>
              </w:rPr>
              <w:t>-15</w:t>
            </w:r>
          </w:p>
        </w:tc>
      </w:tr>
      <w:tr w:rsidR="00F5454C" w14:paraId="0E3B719A" w14:textId="77777777" w:rsidTr="00121299">
        <w:tc>
          <w:tcPr>
            <w:tcW w:w="6663" w:type="dxa"/>
            <w:vMerge/>
          </w:tcPr>
          <w:p w14:paraId="59F73816" w14:textId="77777777" w:rsidR="005B1CA0" w:rsidRPr="00354ED9" w:rsidRDefault="005B1CA0" w:rsidP="00814D77">
            <w:pPr>
              <w:spacing w:before="20" w:after="20"/>
              <w:jc w:val="both"/>
              <w:rPr>
                <w:rFonts w:ascii="Cambria" w:hAnsi="Cambria"/>
                <w:sz w:val="20"/>
                <w:szCs w:val="20"/>
              </w:rPr>
            </w:pPr>
          </w:p>
        </w:tc>
        <w:tc>
          <w:tcPr>
            <w:tcW w:w="2971" w:type="dxa"/>
          </w:tcPr>
          <w:p w14:paraId="7C2F9C19" w14:textId="77777777" w:rsidR="00AE5D06" w:rsidRPr="00354ED9" w:rsidRDefault="00AE5D06" w:rsidP="00814D77">
            <w:pPr>
              <w:spacing w:before="20" w:after="20"/>
              <w:rPr>
                <w:rFonts w:ascii="Cambria" w:hAnsi="Cambria"/>
                <w:sz w:val="18"/>
                <w:szCs w:val="18"/>
              </w:rPr>
            </w:pPr>
          </w:p>
          <w:p w14:paraId="498471CE" w14:textId="77777777" w:rsidR="005B1CA0" w:rsidRPr="00354ED9" w:rsidRDefault="00000000" w:rsidP="00814D77">
            <w:pPr>
              <w:spacing w:before="20" w:after="20"/>
              <w:rPr>
                <w:rFonts w:ascii="Cambria" w:hAnsi="Cambria"/>
                <w:sz w:val="18"/>
                <w:szCs w:val="18"/>
              </w:rPr>
            </w:pPr>
            <w:r w:rsidRPr="00354ED9">
              <w:rPr>
                <w:rFonts w:ascii="Cambria" w:hAnsi="Cambria"/>
                <w:sz w:val="18"/>
                <w:szCs w:val="18"/>
              </w:rPr>
              <w:t xml:space="preserve">Vol 1 Issue </w:t>
            </w:r>
            <w:r w:rsidR="00E2373F" w:rsidRPr="00354ED9">
              <w:rPr>
                <w:rFonts w:ascii="Cambria" w:hAnsi="Cambria"/>
                <w:sz w:val="18"/>
                <w:szCs w:val="18"/>
              </w:rPr>
              <w:t>2</w:t>
            </w:r>
            <w:r w:rsidRPr="00354ED9">
              <w:rPr>
                <w:rFonts w:ascii="Cambria" w:hAnsi="Cambria"/>
                <w:sz w:val="18"/>
                <w:szCs w:val="18"/>
              </w:rPr>
              <w:t xml:space="preserve"> 202</w:t>
            </w:r>
            <w:r w:rsidR="00E2373F" w:rsidRPr="00354ED9">
              <w:rPr>
                <w:rFonts w:ascii="Cambria" w:hAnsi="Cambria"/>
                <w:sz w:val="18"/>
                <w:szCs w:val="18"/>
              </w:rPr>
              <w:t>4</w:t>
            </w:r>
          </w:p>
          <w:p w14:paraId="790EB616" w14:textId="77777777" w:rsidR="00D839EA" w:rsidRPr="00354ED9" w:rsidRDefault="00000000" w:rsidP="00814D77">
            <w:pPr>
              <w:spacing w:before="20" w:after="20"/>
              <w:rPr>
                <w:rFonts w:ascii="Cambria" w:hAnsi="Cambria"/>
                <w:sz w:val="18"/>
                <w:szCs w:val="18"/>
              </w:rPr>
            </w:pPr>
            <w:r w:rsidRPr="00354ED9">
              <w:rPr>
                <w:rFonts w:ascii="Cambria" w:hAnsi="Cambria"/>
                <w:sz w:val="18"/>
                <w:szCs w:val="18"/>
              </w:rPr>
              <w:t>Corresponding Author*</w:t>
            </w:r>
          </w:p>
          <w:p w14:paraId="5CBD36C8" w14:textId="6CFE699C" w:rsidR="00D839EA" w:rsidRDefault="00000000" w:rsidP="00814D77">
            <w:pPr>
              <w:spacing w:before="20" w:after="20"/>
              <w:rPr>
                <w:rFonts w:ascii="Cambria" w:hAnsi="Cambria"/>
                <w:sz w:val="18"/>
                <w:szCs w:val="18"/>
              </w:rPr>
            </w:pPr>
            <w:r w:rsidRPr="00354ED9">
              <w:rPr>
                <w:rFonts w:ascii="Cambria" w:hAnsi="Cambria"/>
                <w:sz w:val="18"/>
                <w:szCs w:val="18"/>
              </w:rPr>
              <w:t>(</w:t>
            </w:r>
            <w:hyperlink r:id="rId8" w:history="1">
              <w:r w:rsidR="00E07FE2" w:rsidRPr="00EA23A5">
                <w:rPr>
                  <w:rStyle w:val="Hyperlink"/>
                  <w:rFonts w:ascii="Cambria" w:hAnsi="Cambria"/>
                  <w:sz w:val="18"/>
                  <w:szCs w:val="18"/>
                </w:rPr>
                <w:t>lubiserwinjunaidi@gmail.com</w:t>
              </w:r>
            </w:hyperlink>
            <w:r w:rsidRPr="00354ED9">
              <w:rPr>
                <w:rFonts w:ascii="Cambria" w:hAnsi="Cambria"/>
                <w:sz w:val="18"/>
                <w:szCs w:val="18"/>
              </w:rPr>
              <w:t>)</w:t>
            </w:r>
          </w:p>
          <w:p w14:paraId="446C6A6B" w14:textId="3F1CE778" w:rsidR="00E07FE2" w:rsidRPr="00354ED9" w:rsidRDefault="00E07FE2" w:rsidP="00814D77">
            <w:pPr>
              <w:spacing w:before="20" w:after="20"/>
              <w:rPr>
                <w:rFonts w:ascii="Cambria" w:hAnsi="Cambria"/>
                <w:sz w:val="18"/>
                <w:szCs w:val="18"/>
              </w:rPr>
            </w:pPr>
            <w:r>
              <w:rPr>
                <w:noProof/>
              </w:rPr>
              <w:drawing>
                <wp:inline distT="0" distB="0" distL="0" distR="0" wp14:anchorId="52E8AE73" wp14:editId="43795309">
                  <wp:extent cx="624398" cy="241935"/>
                  <wp:effectExtent l="0" t="0" r="4445" b="5715"/>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6968" cy="242931"/>
                          </a:xfrm>
                          <a:prstGeom prst="rect">
                            <a:avLst/>
                          </a:prstGeom>
                        </pic:spPr>
                      </pic:pic>
                    </a:graphicData>
                  </a:graphic>
                </wp:inline>
              </w:drawing>
            </w:r>
          </w:p>
        </w:tc>
      </w:tr>
      <w:tr w:rsidR="00F5454C" w14:paraId="1A2774C1" w14:textId="77777777" w:rsidTr="00121299">
        <w:tc>
          <w:tcPr>
            <w:tcW w:w="6663" w:type="dxa"/>
          </w:tcPr>
          <w:p w14:paraId="24EA22F8" w14:textId="463C5CEC" w:rsidR="005B1CA0" w:rsidRPr="00354ED9" w:rsidRDefault="00000000" w:rsidP="00814D77">
            <w:pPr>
              <w:spacing w:before="20" w:after="20" w:line="240" w:lineRule="auto"/>
              <w:rPr>
                <w:rFonts w:ascii="Cambria" w:hAnsi="Cambria"/>
                <w:sz w:val="18"/>
                <w:szCs w:val="18"/>
              </w:rPr>
            </w:pPr>
            <w:r w:rsidRPr="00354ED9">
              <w:rPr>
                <w:rFonts w:ascii="Cambria" w:hAnsi="Cambria"/>
                <w:b/>
                <w:bCs/>
                <w:sz w:val="18"/>
                <w:szCs w:val="18"/>
              </w:rPr>
              <w:t>Keywords:</w:t>
            </w:r>
            <w:r w:rsidR="00E07FE2">
              <w:rPr>
                <w:rFonts w:ascii="Cambria" w:hAnsi="Cambria"/>
                <w:b/>
                <w:bCs/>
                <w:sz w:val="18"/>
                <w:szCs w:val="18"/>
              </w:rPr>
              <w:t xml:space="preserve"> </w:t>
            </w:r>
            <w:r w:rsidR="000678FC" w:rsidRPr="00354ED9">
              <w:rPr>
                <w:rFonts w:ascii="Cambria" w:hAnsi="Cambria"/>
                <w:iCs/>
                <w:sz w:val="18"/>
                <w:szCs w:val="18"/>
              </w:rPr>
              <w:t xml:space="preserve">Tenebrio </w:t>
            </w:r>
            <w:proofErr w:type="spellStart"/>
            <w:r w:rsidR="000678FC" w:rsidRPr="00354ED9">
              <w:rPr>
                <w:rFonts w:ascii="Cambria" w:hAnsi="Cambria"/>
                <w:iCs/>
                <w:sz w:val="18"/>
                <w:szCs w:val="18"/>
              </w:rPr>
              <w:t>molitor</w:t>
            </w:r>
            <w:proofErr w:type="spellEnd"/>
            <w:r w:rsidR="000678FC" w:rsidRPr="00354ED9">
              <w:rPr>
                <w:rFonts w:ascii="Cambria" w:hAnsi="Cambria"/>
                <w:iCs/>
                <w:sz w:val="18"/>
                <w:szCs w:val="18"/>
              </w:rPr>
              <w:t>, Bombyx mori Linnaeus, Capsicum frutescens, Frass, Phosphor</w:t>
            </w:r>
          </w:p>
        </w:tc>
        <w:tc>
          <w:tcPr>
            <w:tcW w:w="2971" w:type="dxa"/>
          </w:tcPr>
          <w:p w14:paraId="454C4608" w14:textId="0B685DA1" w:rsidR="005B1CA0" w:rsidRPr="00354ED9" w:rsidRDefault="00000000" w:rsidP="00814D77">
            <w:pPr>
              <w:spacing w:before="20" w:after="20" w:line="240" w:lineRule="auto"/>
              <w:rPr>
                <w:rFonts w:ascii="Cambria" w:hAnsi="Cambria"/>
                <w:sz w:val="18"/>
                <w:szCs w:val="18"/>
              </w:rPr>
            </w:pPr>
            <w:r w:rsidRPr="00354ED9">
              <w:rPr>
                <w:rFonts w:ascii="Cambria" w:hAnsi="Cambria"/>
                <w:sz w:val="18"/>
                <w:szCs w:val="18"/>
              </w:rPr>
              <w:t>Page</w:t>
            </w:r>
            <w:r w:rsidR="00E07FE2">
              <w:rPr>
                <w:rFonts w:ascii="Cambria" w:hAnsi="Cambria"/>
                <w:sz w:val="18"/>
                <w:szCs w:val="18"/>
              </w:rPr>
              <w:t xml:space="preserve">: </w:t>
            </w:r>
            <w:r w:rsidR="001E1B80">
              <w:rPr>
                <w:rFonts w:ascii="Cambria" w:hAnsi="Cambria"/>
                <w:sz w:val="18"/>
                <w:szCs w:val="18"/>
              </w:rPr>
              <w:t>5</w:t>
            </w:r>
            <w:r w:rsidR="001463BA">
              <w:rPr>
                <w:rFonts w:ascii="Cambria" w:hAnsi="Cambria"/>
                <w:sz w:val="18"/>
                <w:szCs w:val="18"/>
              </w:rPr>
              <w:t>3</w:t>
            </w:r>
            <w:r w:rsidR="00E07FE2">
              <w:rPr>
                <w:rFonts w:ascii="Cambria" w:hAnsi="Cambria"/>
                <w:sz w:val="18"/>
                <w:szCs w:val="18"/>
              </w:rPr>
              <w:t>-</w:t>
            </w:r>
            <w:r w:rsidR="001E1B80">
              <w:rPr>
                <w:rFonts w:ascii="Cambria" w:hAnsi="Cambria"/>
                <w:sz w:val="18"/>
                <w:szCs w:val="18"/>
              </w:rPr>
              <w:t>6</w:t>
            </w:r>
            <w:r w:rsidR="001463BA">
              <w:rPr>
                <w:rFonts w:ascii="Cambria" w:hAnsi="Cambria"/>
                <w:sz w:val="18"/>
                <w:szCs w:val="18"/>
              </w:rPr>
              <w:t>0</w:t>
            </w:r>
          </w:p>
        </w:tc>
      </w:tr>
    </w:tbl>
    <w:p w14:paraId="486BC92F" w14:textId="77777777" w:rsidR="006D4C66" w:rsidRPr="00354ED9" w:rsidRDefault="00000000" w:rsidP="00AA4F65">
      <w:pPr>
        <w:spacing w:before="40" w:after="40" w:line="240" w:lineRule="auto"/>
        <w:rPr>
          <w:rFonts w:ascii="Cambria" w:hAnsi="Cambria"/>
        </w:rPr>
      </w:pPr>
      <w:r w:rsidRPr="00354ED9">
        <w:rPr>
          <w:rFonts w:ascii="Cambria" w:hAnsi="Cambria"/>
        </w:rPr>
        <w:t xml:space="preserve"> </w:t>
      </w:r>
    </w:p>
    <w:p w14:paraId="6A11EFFB" w14:textId="77777777" w:rsidR="00AE5D06" w:rsidRPr="00354ED9" w:rsidRDefault="00000000" w:rsidP="00AA4F65">
      <w:pPr>
        <w:keepNext/>
        <w:keepLines/>
        <w:pBdr>
          <w:top w:val="nil"/>
          <w:left w:val="nil"/>
          <w:bottom w:val="nil"/>
          <w:right w:val="nil"/>
          <w:between w:val="nil"/>
        </w:pBdr>
        <w:spacing w:before="40" w:after="40" w:line="240" w:lineRule="auto"/>
        <w:contextualSpacing/>
        <w:jc w:val="both"/>
        <w:rPr>
          <w:rFonts w:ascii="Cambria" w:eastAsia="Bookman Old Style" w:hAnsi="Cambria" w:cs="Bookman Old Style"/>
          <w:b/>
          <w:color w:val="000000"/>
          <w:lang w:val="id-ID"/>
        </w:rPr>
      </w:pPr>
      <w:r w:rsidRPr="00354ED9">
        <w:rPr>
          <w:rFonts w:ascii="Cambria" w:eastAsia="Bookman Old Style" w:hAnsi="Cambria" w:cs="Bookman Old Style"/>
          <w:b/>
          <w:color w:val="000000"/>
          <w:lang w:val="id-ID"/>
        </w:rPr>
        <w:t>INTRODUCTION</w:t>
      </w:r>
    </w:p>
    <w:p w14:paraId="4D305D34" w14:textId="77777777" w:rsidR="000678FC" w:rsidRPr="00354ED9" w:rsidRDefault="00000000" w:rsidP="000678FC">
      <w:pPr>
        <w:spacing w:before="40" w:after="40" w:line="240" w:lineRule="auto"/>
        <w:ind w:firstLine="567"/>
        <w:contextualSpacing/>
        <w:jc w:val="both"/>
        <w:rPr>
          <w:rFonts w:ascii="Cambria" w:hAnsi="Cambria"/>
          <w:iCs/>
        </w:rPr>
      </w:pPr>
      <w:r w:rsidRPr="00354ED9">
        <w:rPr>
          <w:rFonts w:ascii="Cambria" w:hAnsi="Cambria"/>
          <w:iCs/>
        </w:rPr>
        <w:t>Tenebrio molitor (L.) Tenebrionidae. and Bombyx mori Linnaeus. are animals in the insect class and are usually mostly found in the larval phase. Larvae are prospective animals that will grow and grow and can live to reproduce outside of life. Larvae of Tenebrio molitor (L.) Tenebrionidae. are in dire need of food, and larval growth is very fast, where larval growth reaches the pupa (moulting) phase.</w:t>
      </w:r>
    </w:p>
    <w:p w14:paraId="537478BE" w14:textId="77777777" w:rsidR="000678FC" w:rsidRPr="000678FC" w:rsidRDefault="00000000" w:rsidP="000678FC">
      <w:pPr>
        <w:spacing w:before="40" w:after="40" w:line="240" w:lineRule="auto"/>
        <w:ind w:firstLine="567"/>
        <w:contextualSpacing/>
        <w:jc w:val="both"/>
        <w:rPr>
          <w:rFonts w:ascii="Cambria" w:hAnsi="Cambria"/>
          <w:iCs/>
        </w:rPr>
      </w:pPr>
      <w:r w:rsidRPr="000678FC">
        <w:rPr>
          <w:rFonts w:ascii="Cambria" w:hAnsi="Cambria"/>
          <w:iCs/>
        </w:rPr>
        <w:t xml:space="preserve">Hongkong caterpillars (Tenebrio molitor (L.) Tenebrionidae.) are very easy to cultivate and are highly used as animal feed. The content possessed by bamboo caterpillars commonly called Hongkong caterpillars (Tenebrio molitor (L.) Tenebrionidae.), has a very high nutritional content and is very suitable to be used as animal food. According to </w:t>
      </w:r>
      <w:r w:rsidR="001229BD">
        <w:rPr>
          <w:rFonts w:ascii="Cambria" w:hAnsi="Cambria"/>
          <w:iCs/>
        </w:rPr>
        <w:fldChar w:fldCharType="begin" w:fldLock="1"/>
      </w:r>
      <w:r w:rsidR="006A77F2">
        <w:rPr>
          <w:rFonts w:ascii="Cambria" w:hAnsi="Cambria"/>
          <w:iCs/>
        </w:rPr>
        <w:instrText>ADDIN CSL_CITATION {"citationItems":[{"id":"ITEM-1","itemData":{"ISSN":"1071-2232","author":[{"dropping-particle":"","family":"Finke","given":"Mark","non-dropping-particle":"","parse-names":false,"suffix":""},{"dropping-particle":"","family":"Winn","given":"Diane","non-dropping-particle":"","parse-names":false,"suffix":""}],"container-title":"Journal of Wildlife Rehabilitation","id":"ITEM-1","issue":"3/4","issued":{"date-parts":[["2004"]]},"page":"14","publisher":"INTERNATIONAL WILDLIFE REHABILITATION COUNCIL","title":"Insects and related arthropods: a nutritional primer for rehabilitators","type":"article-journal","volume":"27"},"uris":["http://www.mendeley.com/documents/?uuid=a270ef12-cc18-49e9-a192-25c297525849"]}],"mendeley":{"formattedCitation":"(Finke &amp; Winn, 2004)","manualFormatting":"Finke &amp; Winn, (2004)","plainTextFormattedCitation":"(Finke &amp; Winn, 2004)","previouslyFormattedCitation":"(Finke &amp; Winn, 2004)"},"properties":{"noteIndex":0},"schema":"https://github.com/citation-style-language/schema/raw/master/csl-citation.json"}</w:instrText>
      </w:r>
      <w:r w:rsidR="001229BD">
        <w:rPr>
          <w:rFonts w:ascii="Cambria" w:hAnsi="Cambria"/>
          <w:iCs/>
        </w:rPr>
        <w:fldChar w:fldCharType="separate"/>
      </w:r>
      <w:r w:rsidR="001229BD" w:rsidRPr="001229BD">
        <w:rPr>
          <w:rFonts w:ascii="Cambria" w:hAnsi="Cambria"/>
          <w:iCs/>
          <w:noProof/>
        </w:rPr>
        <w:t xml:space="preserve">Finke &amp; Winn </w:t>
      </w:r>
      <w:r w:rsidR="001229BD">
        <w:rPr>
          <w:rFonts w:ascii="Cambria" w:hAnsi="Cambria"/>
          <w:iCs/>
          <w:noProof/>
        </w:rPr>
        <w:t>(</w:t>
      </w:r>
      <w:r w:rsidR="001229BD" w:rsidRPr="001229BD">
        <w:rPr>
          <w:rFonts w:ascii="Cambria" w:hAnsi="Cambria"/>
          <w:iCs/>
          <w:noProof/>
        </w:rPr>
        <w:t>2004)</w:t>
      </w:r>
      <w:r w:rsidR="001229BD">
        <w:rPr>
          <w:rFonts w:ascii="Cambria" w:hAnsi="Cambria"/>
          <w:iCs/>
        </w:rPr>
        <w:fldChar w:fldCharType="end"/>
      </w:r>
      <w:r w:rsidRPr="000678FC">
        <w:rPr>
          <w:rFonts w:ascii="Cambria" w:hAnsi="Cambria"/>
          <w:iCs/>
        </w:rPr>
        <w:t>, the content contained in bamboo caterpillars or Hongkong caterpillars (Tenebrio molitor (L.) Tenebrionidae.) is 48% protein, 40% crude fat, 3% ash content, nitrogen extract and 57% moisture content.</w:t>
      </w:r>
    </w:p>
    <w:p w14:paraId="3648FD98" w14:textId="77777777" w:rsidR="000678FC" w:rsidRPr="000678FC" w:rsidRDefault="00000000" w:rsidP="000678FC">
      <w:pPr>
        <w:spacing w:before="40" w:after="40" w:line="240" w:lineRule="auto"/>
        <w:ind w:firstLine="567"/>
        <w:contextualSpacing/>
        <w:jc w:val="both"/>
        <w:rPr>
          <w:rFonts w:ascii="Cambria" w:hAnsi="Cambria"/>
          <w:iCs/>
        </w:rPr>
      </w:pPr>
      <w:r w:rsidRPr="000678FC">
        <w:rPr>
          <w:rFonts w:ascii="Cambria" w:hAnsi="Cambria"/>
          <w:iCs/>
        </w:rPr>
        <w:t>The utilization of silkworm (Bombyx mori Linnaeus) is very relevant and can improve soil fertility. Silkworm frass (Bombyx mori Linnaeus) can be an organic fertilizer that is very effective in improving soil quality and chemical properties.</w:t>
      </w:r>
    </w:p>
    <w:p w14:paraId="293591A1" w14:textId="77777777" w:rsidR="000678FC" w:rsidRPr="000678FC" w:rsidRDefault="00000000" w:rsidP="000678FC">
      <w:pPr>
        <w:spacing w:before="40" w:after="40" w:line="240" w:lineRule="auto"/>
        <w:ind w:firstLine="567"/>
        <w:contextualSpacing/>
        <w:jc w:val="both"/>
        <w:rPr>
          <w:rFonts w:ascii="Cambria" w:hAnsi="Cambria"/>
          <w:iCs/>
        </w:rPr>
      </w:pPr>
      <w:r w:rsidRPr="000678FC">
        <w:rPr>
          <w:rFonts w:ascii="Cambria" w:hAnsi="Cambria"/>
          <w:iCs/>
        </w:rPr>
        <w:t xml:space="preserve">Improvements in soil chemical properties with the application of silkworm frass (Bombyx mori Linnaeus.) can increase soil chemical content such as organic carbon content, total soil nitrogen, available phosphorus, and potassium. The content contained in silkworm (Bombyx mori Linnaeus.) is the mineral content of iron (Felium) which is 2.6 mg, sodium content (Na) of 12 mg, potassium content (K) of 7 mg, calcium content (Ca) of 8 mg, zinc content (Zn) of 13 mg, phosphorus content (P) of 12 mg and nitrogen content (N) of 14 mg </w:t>
      </w:r>
      <w:r w:rsidR="002F7610">
        <w:rPr>
          <w:rFonts w:ascii="Cambria" w:hAnsi="Cambria"/>
          <w:iCs/>
        </w:rPr>
        <w:fldChar w:fldCharType="begin" w:fldLock="1"/>
      </w:r>
      <w:r w:rsidR="000C3760">
        <w:rPr>
          <w:rFonts w:ascii="Cambria" w:hAnsi="Cambria"/>
          <w:iCs/>
        </w:rPr>
        <w:instrText>ADDIN CSL_CITATION {"citationItems":[{"id":"ITEM-1","itemData":{"ISSN":"1878-8181","author":[{"dropping-particle":"","family":"Blakstad","given":"Jakob Irgens","non-dropping-particle":"","parse-names":false,"suffix":""},{"dropping-particle":"","family":"Strimbeck","given":"Richard","non-dropping-particle":"","parse-names":false,"suffix":""},{"dropping-particle":"","family":"Poveda","given":"Jorge","non-dropping-particle":"","parse-names":false,"suffix":""},{"dropping-particle":"","family":"Bones","given":"Atle Magnar","non-dropping-particle":"","parse-names":false,"suffix":""},{"dropping-particle":"","family":"Kissen","given":"Ralph","non-dropping-particle":"","parse-names":false,"suffix":""}],"container-title":"Biocatalysis and Agricultural Biotechnology","id":"ITEM-1","issued":{"date-parts":[["2023"]]},"page":"102862","publisher":"Elsevier","title":"Frass from yellow mealworm (Tenebrio molitor) as plant fertilizer and defense priming agent","type":"article-journal","volume":"53"},"uris":["http://www.mendeley.com/documents/?uuid=9ad25477-f96f-4586-b71f-3acba535091c"]}],"mendeley":{"formattedCitation":"(Blakstad et al., 2023)","plainTextFormattedCitation":"(Blakstad et al., 2023)","previouslyFormattedCitation":"(Blakstad et al., 2023)"},"properties":{"noteIndex":0},"schema":"https://github.com/citation-style-language/schema/raw/master/csl-citation.json"}</w:instrText>
      </w:r>
      <w:r w:rsidR="002F7610">
        <w:rPr>
          <w:rFonts w:ascii="Cambria" w:hAnsi="Cambria"/>
          <w:iCs/>
        </w:rPr>
        <w:fldChar w:fldCharType="separate"/>
      </w:r>
      <w:r w:rsidR="002F7610" w:rsidRPr="002F7610">
        <w:rPr>
          <w:rFonts w:ascii="Cambria" w:hAnsi="Cambria"/>
          <w:iCs/>
          <w:noProof/>
        </w:rPr>
        <w:t>(Blakstad et al., 2023)</w:t>
      </w:r>
      <w:r w:rsidR="002F7610">
        <w:rPr>
          <w:rFonts w:ascii="Cambria" w:hAnsi="Cambria"/>
          <w:iCs/>
        </w:rPr>
        <w:fldChar w:fldCharType="end"/>
      </w:r>
      <w:r w:rsidRPr="000678FC">
        <w:rPr>
          <w:rFonts w:ascii="Cambria" w:hAnsi="Cambria"/>
          <w:iCs/>
        </w:rPr>
        <w:t>.</w:t>
      </w:r>
    </w:p>
    <w:p w14:paraId="07208610" w14:textId="77777777" w:rsidR="000678FC" w:rsidRPr="000678FC" w:rsidRDefault="00000000" w:rsidP="000678FC">
      <w:pPr>
        <w:spacing w:before="40" w:after="40" w:line="240" w:lineRule="auto"/>
        <w:ind w:firstLine="567"/>
        <w:contextualSpacing/>
        <w:jc w:val="both"/>
        <w:rPr>
          <w:rFonts w:ascii="Cambria" w:hAnsi="Cambria"/>
          <w:iCs/>
        </w:rPr>
      </w:pPr>
      <w:r w:rsidRPr="000678FC">
        <w:rPr>
          <w:rFonts w:ascii="Cambria" w:hAnsi="Cambria"/>
          <w:iCs/>
        </w:rPr>
        <w:t xml:space="preserve">Hong Kong caterpillar or bamboo caterpillar (Tenebrio molitor (L.) Tenebrionidae.) faeces contain nitrogen (N) of 2.7% - 2.8%, phosphorus (P) of 1.0% - 1.5%, potassium (K) of 1.2% - 2.0% and other micronutrients such as Ca, Fe, and Mg. According to the results of research by </w:t>
      </w:r>
      <w:r w:rsidR="000D002C">
        <w:rPr>
          <w:rFonts w:ascii="Cambria" w:hAnsi="Cambria"/>
          <w:iCs/>
        </w:rPr>
        <w:fldChar w:fldCharType="begin" w:fldLock="1"/>
      </w:r>
      <w:r w:rsidR="00804836">
        <w:rPr>
          <w:rFonts w:ascii="Cambria" w:hAnsi="Cambria"/>
          <w:iCs/>
        </w:rPr>
        <w:instrText>ADDIN CSL_CITATION {"citationItems":[{"id":"ITEM-1","itemData":{"ISSN":"2715-4343","author":[{"dropping-particle":"","family":"Maha","given":"Ica Veronika","non-dropping-particle":"","parse-names":false,"suffix":""},{"dropping-particle":"","family":"Elfrida","given":"Elfrida","non-dropping-particle":"","parse-names":false,"suffix":""},{"dropping-particle":"","family":"Sarjani","given":"Tri Mustika","non-dropping-particle":"","parse-names":false,"suffix":""}],"container-title":"Jurnal Jeumpa","id":"ITEM-1","issue":"1","issued":{"date-parts":[["2021"]]},"page":"516-524","title":"Pemanfaatan Limbah Organik Sebagai Media Pakan Tenebrio molitor","type":"article-journal","volume":"8"},"uris":["http://www.mendeley.com/documents/?uuid=1441c3d8-7e6a-4e23-8aaa-536ef96c9b92"]}],"mendeley":{"formattedCitation":"(Maha et al., 2021)","manualFormatting":"Maha et al., (2021)","plainTextFormattedCitation":"(Maha et al., 2021)","previouslyFormattedCitation":"(Maha et al., 2021)"},"properties":{"noteIndex":0},"schema":"https://github.com/citation-style-language/schema/raw/master/csl-citation.json"}</w:instrText>
      </w:r>
      <w:r w:rsidR="000D002C">
        <w:rPr>
          <w:rFonts w:ascii="Cambria" w:hAnsi="Cambria"/>
          <w:iCs/>
        </w:rPr>
        <w:fldChar w:fldCharType="separate"/>
      </w:r>
      <w:r w:rsidR="000D002C" w:rsidRPr="000D002C">
        <w:rPr>
          <w:rFonts w:ascii="Cambria" w:hAnsi="Cambria"/>
          <w:iCs/>
          <w:noProof/>
        </w:rPr>
        <w:t xml:space="preserve">Maha et al. </w:t>
      </w:r>
      <w:r w:rsidR="000D002C">
        <w:rPr>
          <w:rFonts w:ascii="Cambria" w:hAnsi="Cambria"/>
          <w:iCs/>
          <w:noProof/>
        </w:rPr>
        <w:t>(</w:t>
      </w:r>
      <w:r w:rsidR="000D002C" w:rsidRPr="000D002C">
        <w:rPr>
          <w:rFonts w:ascii="Cambria" w:hAnsi="Cambria"/>
          <w:iCs/>
          <w:noProof/>
        </w:rPr>
        <w:t>2021)</w:t>
      </w:r>
      <w:r w:rsidR="000D002C">
        <w:rPr>
          <w:rFonts w:ascii="Cambria" w:hAnsi="Cambria"/>
          <w:iCs/>
        </w:rPr>
        <w:fldChar w:fldCharType="end"/>
      </w:r>
      <w:r w:rsidRPr="000678FC">
        <w:rPr>
          <w:rFonts w:ascii="Cambria" w:hAnsi="Cambria"/>
          <w:iCs/>
        </w:rPr>
        <w:t>, the content of bamboo caterpillar frass (Tenebrio molitor (L.) Tenebrionidae.) according to soil needs consists of Nitrogen (N) 0.33% - 0.49%, Phosphor (P) 21.66 mg.100 g</w:t>
      </w:r>
      <w:r w:rsidRPr="000678FC">
        <w:rPr>
          <w:rFonts w:ascii="Cambria" w:hAnsi="Cambria"/>
          <w:iCs/>
          <w:vertAlign w:val="superscript"/>
        </w:rPr>
        <w:t>-1</w:t>
      </w:r>
      <w:r w:rsidRPr="000678FC">
        <w:rPr>
          <w:rFonts w:ascii="Cambria" w:hAnsi="Cambria"/>
          <w:iCs/>
        </w:rPr>
        <w:t xml:space="preserve"> - 36.81 mg.100 g</w:t>
      </w:r>
      <w:r w:rsidRPr="000678FC">
        <w:rPr>
          <w:rFonts w:ascii="Cambria" w:hAnsi="Cambria"/>
          <w:iCs/>
          <w:vertAlign w:val="superscript"/>
        </w:rPr>
        <w:t>-1</w:t>
      </w:r>
      <w:r w:rsidRPr="000678FC">
        <w:rPr>
          <w:rFonts w:ascii="Cambria" w:hAnsi="Cambria"/>
          <w:iCs/>
        </w:rPr>
        <w:t>. Potassium (K) 48.28 mg.100 g</w:t>
      </w:r>
      <w:r w:rsidRPr="000678FC">
        <w:rPr>
          <w:rFonts w:ascii="Cambria" w:hAnsi="Cambria"/>
          <w:iCs/>
          <w:vertAlign w:val="superscript"/>
        </w:rPr>
        <w:t>-1</w:t>
      </w:r>
      <w:r w:rsidRPr="000678FC">
        <w:rPr>
          <w:rFonts w:ascii="Cambria" w:hAnsi="Cambria"/>
          <w:iCs/>
        </w:rPr>
        <w:t xml:space="preserve"> - 49.25 mg.100 g</w:t>
      </w:r>
      <w:r w:rsidRPr="000678FC">
        <w:rPr>
          <w:rFonts w:ascii="Cambria" w:hAnsi="Cambria"/>
          <w:iCs/>
          <w:vertAlign w:val="superscript"/>
        </w:rPr>
        <w:t>-1</w:t>
      </w:r>
      <w:r w:rsidRPr="000678FC">
        <w:rPr>
          <w:rFonts w:ascii="Cambria" w:hAnsi="Cambria"/>
          <w:iCs/>
        </w:rPr>
        <w:t>.</w:t>
      </w:r>
    </w:p>
    <w:p w14:paraId="05C3CC9D" w14:textId="77777777" w:rsidR="000678FC" w:rsidRPr="000678FC" w:rsidRDefault="00000000" w:rsidP="000678FC">
      <w:pPr>
        <w:spacing w:before="40" w:after="40" w:line="240" w:lineRule="auto"/>
        <w:ind w:firstLine="567"/>
        <w:contextualSpacing/>
        <w:jc w:val="both"/>
        <w:rPr>
          <w:rFonts w:ascii="Cambria" w:hAnsi="Cambria"/>
          <w:iCs/>
        </w:rPr>
      </w:pPr>
      <w:r w:rsidRPr="000678FC">
        <w:rPr>
          <w:rFonts w:ascii="Cambria" w:hAnsi="Cambria"/>
          <w:iCs/>
        </w:rPr>
        <w:lastRenderedPageBreak/>
        <w:t xml:space="preserve">Small Red Cayenne Pepper (Capsicum frutescens 'Bird's Eye') is a vegetable crop that has the potential to be developed; this chilli is smaller than curly red chilli but has the potential to be very spicy </w:t>
      </w:r>
      <w:r w:rsidR="00370FE4">
        <w:rPr>
          <w:rFonts w:ascii="Cambria" w:hAnsi="Cambria"/>
          <w:iCs/>
        </w:rPr>
        <w:fldChar w:fldCharType="begin" w:fldLock="1"/>
      </w:r>
      <w:r w:rsidR="0082653F">
        <w:rPr>
          <w:rFonts w:ascii="Cambria" w:hAnsi="Cambria"/>
          <w:iCs/>
        </w:rPr>
        <w:instrText>ADDIN CSL_CITATION {"citationItems":[{"id":"ITEM-1","itemData":{"author":[{"dropping-particle":"","family":"Prajnanta","given":"F","non-dropping-particle":"","parse-names":false,"suffix":""}],"container-title":"Penebar Sawadaya","id":"ITEM-1","issued":{"date-parts":[["2002"]]},"title":"Agribisnis Cabai Hibrida","type":"article-journal"},"uris":["http://www.mendeley.com/documents/?uuid=ca6b1c27-03ec-4d99-8e24-df1f98a4e7a4"]}],"mendeley":{"formattedCitation":"(Prajnanta, 2002)","plainTextFormattedCitation":"(Prajnanta, 2002)","previouslyFormattedCitation":"(Prajnanta, 2002)"},"properties":{"noteIndex":0},"schema":"https://github.com/citation-style-language/schema/raw/master/csl-citation.json"}</w:instrText>
      </w:r>
      <w:r w:rsidR="00370FE4">
        <w:rPr>
          <w:rFonts w:ascii="Cambria" w:hAnsi="Cambria"/>
          <w:iCs/>
        </w:rPr>
        <w:fldChar w:fldCharType="separate"/>
      </w:r>
      <w:r w:rsidR="00370FE4" w:rsidRPr="00370FE4">
        <w:rPr>
          <w:rFonts w:ascii="Cambria" w:hAnsi="Cambria"/>
          <w:iCs/>
          <w:noProof/>
        </w:rPr>
        <w:t>(Prajnanta, 2002)</w:t>
      </w:r>
      <w:r w:rsidR="00370FE4">
        <w:rPr>
          <w:rFonts w:ascii="Cambria" w:hAnsi="Cambria"/>
          <w:iCs/>
        </w:rPr>
        <w:fldChar w:fldCharType="end"/>
      </w:r>
      <w:r w:rsidR="00370FE4" w:rsidRPr="00370FE4">
        <w:rPr>
          <w:rFonts w:ascii="Times New Roman" w:hAnsi="Times New Roman" w:cs="Times New Roman"/>
          <w:color w:val="000000" w:themeColor="text1"/>
          <w:sz w:val="24"/>
          <w:szCs w:val="24"/>
          <w:lang w:val="en-ID"/>
        </w:rPr>
        <w:t xml:space="preserve"> Putri</w:t>
      </w:r>
      <w:r w:rsidRPr="000678FC">
        <w:rPr>
          <w:rFonts w:ascii="Cambria" w:hAnsi="Cambria"/>
          <w:iCs/>
        </w:rPr>
        <w:t xml:space="preserve">. Importing chillies is still being done, and Indonesia is still doing this, whether the chillies are fresh, dried or powdered. So, there is a need for the expansion of planting and an increase in fertilization techniques through cultivation techniques so that plants can produce well and efficiently in their productivity </w:t>
      </w:r>
      <w:r w:rsidR="000C3760">
        <w:rPr>
          <w:rFonts w:ascii="Cambria" w:hAnsi="Cambria"/>
          <w:iCs/>
        </w:rPr>
        <w:fldChar w:fldCharType="begin" w:fldLock="1"/>
      </w:r>
      <w:r w:rsidR="001229BD">
        <w:rPr>
          <w:rFonts w:ascii="Cambria" w:hAnsi="Cambria"/>
          <w:iCs/>
        </w:rPr>
        <w:instrText>ADDIN CSL_CITATION {"citationItems":[{"id":"ITEM-1","itemData":{"ISBN":"2338-3011","author":[{"dropping-particle":"","family":"Ferawati","given":"Chotimah Fajar","non-dropping-particle":"","parse-names":false,"suffix":""},{"dropping-particle":"","family":"Barus","given":"Henry N","non-dropping-particle":"","parse-names":false,"suffix":""},{"dropping-particle":"","family":"Tjoa","given":"Aiyen","non-dropping-particle":"","parse-names":false,"suffix":""}],"id":"ITEM-1","issued":{"date-parts":[["2014"]]},"publisher":"Tadulako University","title":"Pengaruh pupuk organik mikroba rumpun bambu terhadap pertumbuhan tanaman cabai (Capsicum annuum L.)","type":"article"},"uris":["http://www.mendeley.com/documents/?uuid=b39ddaf1-55f2-4bcc-89df-73568c4bbf0d"]}],"mendeley":{"formattedCitation":"(Ferawati et al., 2014)","plainTextFormattedCitation":"(Ferawati et al., 2014)","previouslyFormattedCitation":"(Ferawati et al., 2014)"},"properties":{"noteIndex":0},"schema":"https://github.com/citation-style-language/schema/raw/master/csl-citation.json"}</w:instrText>
      </w:r>
      <w:r w:rsidR="000C3760">
        <w:rPr>
          <w:rFonts w:ascii="Cambria" w:hAnsi="Cambria"/>
          <w:iCs/>
        </w:rPr>
        <w:fldChar w:fldCharType="separate"/>
      </w:r>
      <w:r w:rsidR="000C3760" w:rsidRPr="000C3760">
        <w:rPr>
          <w:rFonts w:ascii="Cambria" w:hAnsi="Cambria"/>
          <w:iCs/>
          <w:noProof/>
        </w:rPr>
        <w:t>(Ferawati et al., 2014)</w:t>
      </w:r>
      <w:r w:rsidR="000C3760">
        <w:rPr>
          <w:rFonts w:ascii="Cambria" w:hAnsi="Cambria"/>
          <w:iCs/>
        </w:rPr>
        <w:fldChar w:fldCharType="end"/>
      </w:r>
      <w:r w:rsidRPr="000678FC">
        <w:rPr>
          <w:rFonts w:ascii="Cambria" w:hAnsi="Cambria"/>
          <w:iCs/>
        </w:rPr>
        <w:t>.</w:t>
      </w:r>
    </w:p>
    <w:p w14:paraId="438D4A5F" w14:textId="77777777" w:rsidR="00AE5D06" w:rsidRPr="00354ED9" w:rsidRDefault="00AE5D06" w:rsidP="00AE5D06">
      <w:pPr>
        <w:spacing w:before="40" w:after="40" w:line="240" w:lineRule="auto"/>
        <w:ind w:firstLine="567"/>
        <w:contextualSpacing/>
        <w:jc w:val="both"/>
        <w:rPr>
          <w:rFonts w:ascii="Cambria" w:hAnsi="Cambria"/>
        </w:rPr>
      </w:pPr>
    </w:p>
    <w:p w14:paraId="1E6B0637" w14:textId="77777777" w:rsidR="00AE5D06" w:rsidRPr="00354ED9" w:rsidRDefault="00AE5D06" w:rsidP="00AE5D06">
      <w:pPr>
        <w:spacing w:before="40" w:after="40" w:line="240" w:lineRule="auto"/>
        <w:contextualSpacing/>
        <w:jc w:val="both"/>
        <w:rPr>
          <w:rFonts w:ascii="Cambria" w:hAnsi="Cambria"/>
        </w:rPr>
      </w:pPr>
    </w:p>
    <w:p w14:paraId="0ADA2E72" w14:textId="77777777" w:rsidR="00AE5D06" w:rsidRPr="00354ED9" w:rsidRDefault="00000000" w:rsidP="00AE5D06">
      <w:pPr>
        <w:spacing w:before="40" w:after="40" w:line="240" w:lineRule="auto"/>
        <w:contextualSpacing/>
        <w:jc w:val="both"/>
        <w:rPr>
          <w:rFonts w:ascii="Cambria" w:hAnsi="Cambria"/>
          <w:b/>
          <w:lang w:val="id-ID"/>
        </w:rPr>
      </w:pPr>
      <w:r w:rsidRPr="00354ED9">
        <w:rPr>
          <w:rFonts w:ascii="Cambria" w:hAnsi="Cambria"/>
          <w:b/>
          <w:lang w:val="id-ID"/>
        </w:rPr>
        <w:t>METHODS</w:t>
      </w:r>
    </w:p>
    <w:p w14:paraId="6F34834F" w14:textId="77777777" w:rsidR="00A51924" w:rsidRPr="00354ED9" w:rsidRDefault="00000000" w:rsidP="00A51924">
      <w:pPr>
        <w:spacing w:before="40" w:after="40" w:line="240" w:lineRule="auto"/>
        <w:ind w:firstLine="567"/>
        <w:contextualSpacing/>
        <w:jc w:val="both"/>
        <w:rPr>
          <w:rFonts w:ascii="Cambria" w:hAnsi="Cambria"/>
        </w:rPr>
      </w:pPr>
      <w:r w:rsidRPr="00354ED9">
        <w:rPr>
          <w:rFonts w:ascii="Cambria" w:hAnsi="Cambria"/>
        </w:rPr>
        <w:t>This research was conducted in the nursery area of the Soil Management Field Laboratory, Institut Teknologi Sawit Indonesia (ITSI) Medan. Inceptisol soil medium was taken from the oil palm nursery of PPKS Tanjung Morawa, North Sumatra. Small Red Chilli (</w:t>
      </w:r>
      <w:r w:rsidRPr="00354ED9">
        <w:rPr>
          <w:rFonts w:ascii="Cambria" w:hAnsi="Cambria"/>
          <w:i/>
        </w:rPr>
        <w:t>Capsicum frutescens</w:t>
      </w:r>
      <w:r w:rsidRPr="00354ED9">
        <w:rPr>
          <w:rFonts w:ascii="Cambria" w:hAnsi="Cambria"/>
        </w:rPr>
        <w:t xml:space="preserve"> ‘Bird's Eye’) seedlings were used in polybags at the age of one month. The research was conducted for four months, from November 2024 to March 2025.</w:t>
      </w:r>
    </w:p>
    <w:p w14:paraId="4C9E5ADF" w14:textId="77777777" w:rsidR="00A51924" w:rsidRPr="00A51924" w:rsidRDefault="00000000" w:rsidP="00A51924">
      <w:pPr>
        <w:spacing w:before="40" w:after="40" w:line="240" w:lineRule="auto"/>
        <w:ind w:firstLine="567"/>
        <w:contextualSpacing/>
        <w:jc w:val="both"/>
        <w:rPr>
          <w:rFonts w:ascii="Cambria" w:hAnsi="Cambria"/>
        </w:rPr>
      </w:pPr>
      <w:r w:rsidRPr="00A51924">
        <w:rPr>
          <w:rFonts w:ascii="Cambria" w:hAnsi="Cambria"/>
        </w:rPr>
        <w:t xml:space="preserve">This study used a non-factorial Randomised Group Design (RGD), where Factor 1 Epigenetic caterpillar: </w:t>
      </w:r>
      <w:r w:rsidRPr="00A51924">
        <w:rPr>
          <w:rFonts w:ascii="Cambria" w:hAnsi="Cambria"/>
          <w:i/>
        </w:rPr>
        <w:t>Tenebrio molitor</w:t>
      </w:r>
      <w:r w:rsidRPr="00A51924">
        <w:rPr>
          <w:rFonts w:ascii="Cambria" w:hAnsi="Cambria"/>
        </w:rPr>
        <w:t xml:space="preserve"> (L.) Tenebrionidae. (T) with 2 treatment levels, T</w:t>
      </w:r>
      <w:r w:rsidRPr="00A51924">
        <w:rPr>
          <w:rFonts w:ascii="Cambria" w:hAnsi="Cambria"/>
          <w:vertAlign w:val="subscript"/>
        </w:rPr>
        <w:t>1</w:t>
      </w:r>
      <w:r w:rsidRPr="00A51924">
        <w:rPr>
          <w:rFonts w:ascii="Cambria" w:hAnsi="Cambria"/>
        </w:rPr>
        <w:t xml:space="preserve"> = 250 ml.</w:t>
      </w:r>
      <w:r w:rsidR="00D14059" w:rsidRPr="00354ED9">
        <w:rPr>
          <w:rFonts w:ascii="Cambria" w:hAnsi="Cambria"/>
        </w:rPr>
        <w:t xml:space="preserve"> </w:t>
      </w:r>
      <w:r w:rsidRPr="00A51924">
        <w:rPr>
          <w:rFonts w:ascii="Cambria" w:hAnsi="Cambria"/>
        </w:rPr>
        <w:t>polybag</w:t>
      </w:r>
      <w:r w:rsidRPr="00A51924">
        <w:rPr>
          <w:rFonts w:ascii="Cambria" w:hAnsi="Cambria"/>
          <w:vertAlign w:val="superscript"/>
        </w:rPr>
        <w:t>-1</w:t>
      </w:r>
      <w:r w:rsidRPr="00A51924">
        <w:rPr>
          <w:rFonts w:ascii="Cambria" w:hAnsi="Cambria"/>
        </w:rPr>
        <w:t>, T</w:t>
      </w:r>
      <w:r w:rsidRPr="00A51924">
        <w:rPr>
          <w:rFonts w:ascii="Cambria" w:hAnsi="Cambria"/>
          <w:vertAlign w:val="subscript"/>
        </w:rPr>
        <w:t>2</w:t>
      </w:r>
      <w:r w:rsidRPr="00A51924">
        <w:rPr>
          <w:rFonts w:ascii="Cambria" w:hAnsi="Cambria"/>
        </w:rPr>
        <w:t xml:space="preserve"> = 500 ml.</w:t>
      </w:r>
      <w:r w:rsidR="00D14059" w:rsidRPr="00354ED9">
        <w:rPr>
          <w:rFonts w:ascii="Cambria" w:hAnsi="Cambria"/>
        </w:rPr>
        <w:t xml:space="preserve"> </w:t>
      </w:r>
      <w:r w:rsidRPr="00A51924">
        <w:rPr>
          <w:rFonts w:ascii="Cambria" w:hAnsi="Cambria"/>
        </w:rPr>
        <w:t>polybag</w:t>
      </w:r>
      <w:r w:rsidRPr="00A51924">
        <w:rPr>
          <w:rFonts w:ascii="Cambria" w:hAnsi="Cambria"/>
          <w:vertAlign w:val="superscript"/>
        </w:rPr>
        <w:t>-1</w:t>
      </w:r>
      <w:r w:rsidRPr="00A51924">
        <w:rPr>
          <w:rFonts w:ascii="Cambria" w:hAnsi="Cambria"/>
        </w:rPr>
        <w:t xml:space="preserve">. Factor 2 Epigenetic caterpillar: </w:t>
      </w:r>
      <w:r w:rsidRPr="00A51924">
        <w:rPr>
          <w:rFonts w:ascii="Cambria" w:hAnsi="Cambria"/>
          <w:i/>
        </w:rPr>
        <w:t>Bombyx mori</w:t>
      </w:r>
      <w:r w:rsidRPr="00A51924">
        <w:rPr>
          <w:rFonts w:ascii="Cambria" w:hAnsi="Cambria"/>
        </w:rPr>
        <w:t xml:space="preserve"> Linnaeus. (B) with 2 treatment levels, B</w:t>
      </w:r>
      <w:r w:rsidRPr="00A51924">
        <w:rPr>
          <w:rFonts w:ascii="Cambria" w:hAnsi="Cambria"/>
          <w:vertAlign w:val="subscript"/>
        </w:rPr>
        <w:t>1</w:t>
      </w:r>
      <w:r w:rsidRPr="00A51924">
        <w:rPr>
          <w:rFonts w:ascii="Cambria" w:hAnsi="Cambria"/>
        </w:rPr>
        <w:t xml:space="preserve"> = 250 ml.</w:t>
      </w:r>
      <w:r w:rsidR="00D14059" w:rsidRPr="00354ED9">
        <w:rPr>
          <w:rFonts w:ascii="Cambria" w:hAnsi="Cambria"/>
        </w:rPr>
        <w:t xml:space="preserve"> </w:t>
      </w:r>
      <w:r w:rsidRPr="00A51924">
        <w:rPr>
          <w:rFonts w:ascii="Cambria" w:hAnsi="Cambria"/>
        </w:rPr>
        <w:t>polybag</w:t>
      </w:r>
      <w:r w:rsidRPr="00A51924">
        <w:rPr>
          <w:rFonts w:ascii="Cambria" w:hAnsi="Cambria"/>
          <w:vertAlign w:val="superscript"/>
        </w:rPr>
        <w:t>-1</w:t>
      </w:r>
      <w:r w:rsidRPr="00A51924">
        <w:rPr>
          <w:rFonts w:ascii="Cambria" w:hAnsi="Cambria"/>
        </w:rPr>
        <w:t>, B</w:t>
      </w:r>
      <w:r w:rsidRPr="00A51924">
        <w:rPr>
          <w:rFonts w:ascii="Cambria" w:hAnsi="Cambria"/>
          <w:vertAlign w:val="subscript"/>
        </w:rPr>
        <w:t xml:space="preserve">2 </w:t>
      </w:r>
      <w:r w:rsidRPr="00A51924">
        <w:rPr>
          <w:rFonts w:ascii="Cambria" w:hAnsi="Cambria"/>
        </w:rPr>
        <w:t>= 500 ml.</w:t>
      </w:r>
      <w:r w:rsidR="00D14059" w:rsidRPr="00354ED9">
        <w:rPr>
          <w:rFonts w:ascii="Cambria" w:hAnsi="Cambria"/>
        </w:rPr>
        <w:t xml:space="preserve"> </w:t>
      </w:r>
      <w:r w:rsidRPr="00A51924">
        <w:rPr>
          <w:rFonts w:ascii="Cambria" w:hAnsi="Cambria"/>
        </w:rPr>
        <w:t>polybag</w:t>
      </w:r>
      <w:r w:rsidRPr="00A51924">
        <w:rPr>
          <w:rFonts w:ascii="Cambria" w:hAnsi="Cambria"/>
          <w:vertAlign w:val="superscript"/>
        </w:rPr>
        <w:t>-1</w:t>
      </w:r>
      <w:r w:rsidRPr="00A51924">
        <w:rPr>
          <w:rFonts w:ascii="Cambria" w:hAnsi="Cambria"/>
        </w:rPr>
        <w:t xml:space="preserve">, Factor 3 mixture of genetic fluid and frass from caterpillars </w:t>
      </w:r>
      <w:r w:rsidRPr="00A51924">
        <w:rPr>
          <w:rFonts w:ascii="Cambria" w:hAnsi="Cambria"/>
          <w:i/>
        </w:rPr>
        <w:t>Tenebrio molitor</w:t>
      </w:r>
      <w:r w:rsidRPr="00A51924">
        <w:rPr>
          <w:rFonts w:ascii="Cambria" w:hAnsi="Cambria"/>
        </w:rPr>
        <w:t xml:space="preserve"> (L.) Tenebrionidae. and </w:t>
      </w:r>
      <w:r w:rsidRPr="00A51924">
        <w:rPr>
          <w:rFonts w:ascii="Cambria" w:hAnsi="Cambria"/>
          <w:i/>
        </w:rPr>
        <w:t>Bombyx mori</w:t>
      </w:r>
      <w:r w:rsidRPr="00A51924">
        <w:rPr>
          <w:rFonts w:ascii="Cambria" w:hAnsi="Cambria"/>
        </w:rPr>
        <w:t xml:space="preserve"> Linnaeus. (TB) with 2 treatment levels, TB</w:t>
      </w:r>
      <w:r w:rsidRPr="00A51924">
        <w:rPr>
          <w:rFonts w:ascii="Cambria" w:hAnsi="Cambria"/>
          <w:vertAlign w:val="subscript"/>
        </w:rPr>
        <w:t>1</w:t>
      </w:r>
      <w:r w:rsidRPr="00A51924">
        <w:rPr>
          <w:rFonts w:ascii="Cambria" w:hAnsi="Cambria"/>
        </w:rPr>
        <w:t xml:space="preserve"> = 250 ml.</w:t>
      </w:r>
      <w:r w:rsidR="00D14059" w:rsidRPr="00354ED9">
        <w:rPr>
          <w:rFonts w:ascii="Cambria" w:hAnsi="Cambria"/>
        </w:rPr>
        <w:t xml:space="preserve"> </w:t>
      </w:r>
      <w:r w:rsidRPr="00A51924">
        <w:rPr>
          <w:rFonts w:ascii="Cambria" w:hAnsi="Cambria"/>
        </w:rPr>
        <w:t>polybag</w:t>
      </w:r>
      <w:r w:rsidRPr="00A51924">
        <w:rPr>
          <w:rFonts w:ascii="Cambria" w:hAnsi="Cambria"/>
          <w:vertAlign w:val="superscript"/>
        </w:rPr>
        <w:t>-1</w:t>
      </w:r>
      <w:r w:rsidRPr="00A51924">
        <w:rPr>
          <w:rFonts w:ascii="Cambria" w:hAnsi="Cambria"/>
        </w:rPr>
        <w:t>, TB</w:t>
      </w:r>
      <w:r w:rsidRPr="00A51924">
        <w:rPr>
          <w:rFonts w:ascii="Cambria" w:hAnsi="Cambria"/>
          <w:vertAlign w:val="subscript"/>
        </w:rPr>
        <w:t>2</w:t>
      </w:r>
      <w:r w:rsidRPr="00A51924">
        <w:rPr>
          <w:rFonts w:ascii="Cambria" w:hAnsi="Cambria"/>
        </w:rPr>
        <w:t xml:space="preserve"> = 500 ml.</w:t>
      </w:r>
      <w:r w:rsidR="00D14059" w:rsidRPr="00354ED9">
        <w:rPr>
          <w:rFonts w:ascii="Cambria" w:hAnsi="Cambria"/>
        </w:rPr>
        <w:t xml:space="preserve"> </w:t>
      </w:r>
      <w:r w:rsidRPr="00A51924">
        <w:rPr>
          <w:rFonts w:ascii="Cambria" w:hAnsi="Cambria"/>
        </w:rPr>
        <w:t>polybag</w:t>
      </w:r>
      <w:r w:rsidRPr="00A51924">
        <w:rPr>
          <w:rFonts w:ascii="Cambria" w:hAnsi="Cambria"/>
          <w:vertAlign w:val="superscript"/>
        </w:rPr>
        <w:t>-1</w:t>
      </w:r>
      <w:r w:rsidRPr="00A51924">
        <w:rPr>
          <w:rFonts w:ascii="Cambria" w:hAnsi="Cambria"/>
        </w:rPr>
        <w:t>.</w:t>
      </w:r>
    </w:p>
    <w:p w14:paraId="7210E983" w14:textId="77777777" w:rsidR="00A51924" w:rsidRPr="00A51924" w:rsidRDefault="00000000" w:rsidP="00A51924">
      <w:pPr>
        <w:spacing w:before="40" w:after="40" w:line="240" w:lineRule="auto"/>
        <w:ind w:firstLine="567"/>
        <w:contextualSpacing/>
        <w:jc w:val="both"/>
        <w:rPr>
          <w:rFonts w:ascii="Cambria" w:hAnsi="Cambria"/>
        </w:rPr>
      </w:pPr>
      <w:r w:rsidRPr="00A51924">
        <w:rPr>
          <w:rFonts w:ascii="Cambria" w:hAnsi="Cambria"/>
        </w:rPr>
        <w:t xml:space="preserve">Soil analysis and experiments were conducted at the Soil Laboratory, Indonesian Oil Palm Research Institute (IOPRI or PPKS) Medan, and the Soil, Plant, Fertilizer and Water Laboratory at the Institute for Agricultural Technology (IAT or BPTP) Johor, Medan, North Sumatra. </w:t>
      </w:r>
    </w:p>
    <w:p w14:paraId="0DDB31E4" w14:textId="77777777" w:rsidR="00A51924" w:rsidRPr="00A51924" w:rsidRDefault="00000000" w:rsidP="00A51924">
      <w:pPr>
        <w:spacing w:before="40" w:after="40" w:line="240" w:lineRule="auto"/>
        <w:ind w:firstLine="567"/>
        <w:contextualSpacing/>
        <w:jc w:val="both"/>
        <w:rPr>
          <w:rFonts w:ascii="Cambria" w:hAnsi="Cambria"/>
        </w:rPr>
      </w:pPr>
      <w:r w:rsidRPr="00A51924">
        <w:rPr>
          <w:rFonts w:ascii="Cambria" w:hAnsi="Cambria"/>
        </w:rPr>
        <w:t>The use of epigenetic caterpillars from silk (</w:t>
      </w:r>
      <w:r w:rsidRPr="00A51924">
        <w:rPr>
          <w:rFonts w:ascii="Cambria" w:hAnsi="Cambria"/>
          <w:i/>
        </w:rPr>
        <w:t>Bombyx mori</w:t>
      </w:r>
      <w:r w:rsidRPr="00A51924">
        <w:rPr>
          <w:rFonts w:ascii="Cambria" w:hAnsi="Cambria"/>
        </w:rPr>
        <w:t xml:space="preserve"> Linnaeus.) and bamboo or Hongkong (</w:t>
      </w:r>
      <w:r w:rsidRPr="00A51924">
        <w:rPr>
          <w:rFonts w:ascii="Cambria" w:hAnsi="Cambria"/>
          <w:i/>
        </w:rPr>
        <w:t>Tenebrio molitor</w:t>
      </w:r>
      <w:r w:rsidRPr="00A51924">
        <w:rPr>
          <w:rFonts w:ascii="Cambria" w:hAnsi="Cambria"/>
        </w:rPr>
        <w:t xml:space="preserve"> (L.) Tenebrionidae.) is their faeces, then mixed with the results of the genetic fluid from the silk caterpillars and Hongkong caterpillars. The genetic fluid from the silkworm and bamboo or Hongkong caterpillar frass was soaked in 5 litres of water mixed with 500 ml of rice washing water for 30 days, and the bamboo (</w:t>
      </w:r>
      <w:r w:rsidRPr="00A51924">
        <w:rPr>
          <w:rFonts w:ascii="Cambria" w:hAnsi="Cambria"/>
          <w:i/>
        </w:rPr>
        <w:t>Tenebrio molitor</w:t>
      </w:r>
      <w:r w:rsidRPr="00A51924">
        <w:rPr>
          <w:rFonts w:ascii="Cambria" w:hAnsi="Cambria"/>
        </w:rPr>
        <w:t xml:space="preserve"> (L.) Tenebrionidae.) and silkworm (</w:t>
      </w:r>
      <w:r w:rsidRPr="00A51924">
        <w:rPr>
          <w:rFonts w:ascii="Cambria" w:hAnsi="Cambria"/>
          <w:i/>
        </w:rPr>
        <w:t>Bombyx mori</w:t>
      </w:r>
      <w:r w:rsidRPr="00A51924">
        <w:rPr>
          <w:rFonts w:ascii="Cambria" w:hAnsi="Cambria"/>
        </w:rPr>
        <w:t xml:space="preserve"> Linnaeus.) faeces were composted with brown sugar and 1 litre of </w:t>
      </w:r>
      <w:r w:rsidRPr="00A51924">
        <w:rPr>
          <w:rFonts w:ascii="Cambria" w:hAnsi="Cambria"/>
          <w:i/>
        </w:rPr>
        <w:t>Effective Microorganisms</w:t>
      </w:r>
      <w:r w:rsidRPr="00A51924">
        <w:rPr>
          <w:rFonts w:ascii="Cambria" w:hAnsi="Cambria"/>
        </w:rPr>
        <w:t>-4 (EM-4) liquid and covered for 30 days. The final application method into polybags was 1:1 in use.</w:t>
      </w:r>
    </w:p>
    <w:p w14:paraId="2D15AF80" w14:textId="77777777" w:rsidR="00A51924" w:rsidRPr="00A51924" w:rsidRDefault="00000000" w:rsidP="00A51924">
      <w:pPr>
        <w:spacing w:before="40" w:after="40" w:line="240" w:lineRule="auto"/>
        <w:ind w:firstLine="567"/>
        <w:contextualSpacing/>
        <w:jc w:val="both"/>
        <w:rPr>
          <w:rFonts w:ascii="Cambria" w:hAnsi="Cambria"/>
        </w:rPr>
      </w:pPr>
      <w:r w:rsidRPr="00A51924">
        <w:rPr>
          <w:rFonts w:ascii="Cambria" w:hAnsi="Cambria"/>
        </w:rPr>
        <w:t>Research observations and research indicators from the beginning were soil physical properties, namely Soil Texture (%), soil chemical properties consisting of Soil C-Organic (%), N-Total (%), P</w:t>
      </w:r>
      <w:r w:rsidRPr="00A51924">
        <w:rPr>
          <w:rFonts w:ascii="Cambria" w:hAnsi="Cambria"/>
          <w:vertAlign w:val="subscript"/>
        </w:rPr>
        <w:t>2</w:t>
      </w:r>
      <w:r w:rsidRPr="00A51924">
        <w:rPr>
          <w:rFonts w:ascii="Cambria" w:hAnsi="Cambria"/>
        </w:rPr>
        <w:t>O</w:t>
      </w:r>
      <w:r w:rsidRPr="00A51924">
        <w:rPr>
          <w:rFonts w:ascii="Cambria" w:hAnsi="Cambria"/>
          <w:vertAlign w:val="subscript"/>
        </w:rPr>
        <w:t>5</w:t>
      </w:r>
      <w:r w:rsidRPr="00A51924">
        <w:rPr>
          <w:rFonts w:ascii="Cambria" w:hAnsi="Cambria"/>
        </w:rPr>
        <w:t>-avl (P-Bray-I) (ppm P), Potential K</w:t>
      </w:r>
      <w:r w:rsidRPr="00A51924">
        <w:rPr>
          <w:rFonts w:ascii="Cambria" w:hAnsi="Cambria"/>
          <w:vertAlign w:val="subscript"/>
        </w:rPr>
        <w:t>2</w:t>
      </w:r>
      <w:r w:rsidRPr="00A51924">
        <w:rPr>
          <w:rFonts w:ascii="Cambria" w:hAnsi="Cambria"/>
        </w:rPr>
        <w:t>O Ex. HCl 25% (me.100 g</w:t>
      </w:r>
      <w:r w:rsidRPr="00A51924">
        <w:rPr>
          <w:rFonts w:ascii="Cambria" w:hAnsi="Cambria"/>
          <w:vertAlign w:val="superscript"/>
        </w:rPr>
        <w:t>-1</w:t>
      </w:r>
      <w:r w:rsidRPr="00A51924">
        <w:rPr>
          <w:rFonts w:ascii="Cambria" w:hAnsi="Cambria"/>
        </w:rPr>
        <w:t>), Cation Exchange Capacity (CEC) (me.100 g</w:t>
      </w:r>
      <w:r w:rsidRPr="00A51924">
        <w:rPr>
          <w:rFonts w:ascii="Cambria" w:hAnsi="Cambria"/>
          <w:vertAlign w:val="superscript"/>
        </w:rPr>
        <w:t>-1</w:t>
      </w:r>
      <w:r w:rsidRPr="00A51924">
        <w:rPr>
          <w:rFonts w:ascii="Cambria" w:hAnsi="Cambria"/>
        </w:rPr>
        <w:t>), Soil Acidity (pH) H</w:t>
      </w:r>
      <w:r w:rsidRPr="00A51924">
        <w:rPr>
          <w:rFonts w:ascii="Cambria" w:hAnsi="Cambria"/>
          <w:vertAlign w:val="subscript"/>
        </w:rPr>
        <w:t>2</w:t>
      </w:r>
      <w:r w:rsidRPr="00A51924">
        <w:rPr>
          <w:rFonts w:ascii="Cambria" w:hAnsi="Cambria"/>
        </w:rPr>
        <w:t>O, Al-dd (me.100 g</w:t>
      </w:r>
      <w:r w:rsidRPr="00A51924">
        <w:rPr>
          <w:rFonts w:ascii="Cambria" w:hAnsi="Cambria"/>
          <w:vertAlign w:val="superscript"/>
        </w:rPr>
        <w:t>-1</w:t>
      </w:r>
      <w:r w:rsidRPr="00A51924">
        <w:rPr>
          <w:rFonts w:ascii="Cambria" w:hAnsi="Cambria"/>
        </w:rPr>
        <w:t>), Al Saturation (%), Ca-dd (me.100 g</w:t>
      </w:r>
      <w:r w:rsidRPr="00A51924">
        <w:rPr>
          <w:rFonts w:ascii="Cambria" w:hAnsi="Cambria"/>
          <w:vertAlign w:val="superscript"/>
        </w:rPr>
        <w:t>-1</w:t>
      </w:r>
      <w:r w:rsidRPr="00A51924">
        <w:rPr>
          <w:rFonts w:ascii="Cambria" w:hAnsi="Cambria"/>
        </w:rPr>
        <w:t>), K-dd (me.100 g</w:t>
      </w:r>
      <w:r w:rsidRPr="00A51924">
        <w:rPr>
          <w:rFonts w:ascii="Cambria" w:hAnsi="Cambria"/>
          <w:vertAlign w:val="superscript"/>
        </w:rPr>
        <w:t>-1</w:t>
      </w:r>
      <w:r w:rsidRPr="00A51924">
        <w:rPr>
          <w:rFonts w:ascii="Cambria" w:hAnsi="Cambria"/>
        </w:rPr>
        <w:t>), Mg-dd (me.100 g</w:t>
      </w:r>
      <w:r w:rsidRPr="00A51924">
        <w:rPr>
          <w:rFonts w:ascii="Cambria" w:hAnsi="Cambria"/>
          <w:vertAlign w:val="superscript"/>
        </w:rPr>
        <w:t>-1</w:t>
      </w:r>
      <w:r w:rsidRPr="00A51924">
        <w:rPr>
          <w:rFonts w:ascii="Cambria" w:hAnsi="Cambria"/>
        </w:rPr>
        <w:t>), Na-dd (me.100 g</w:t>
      </w:r>
      <w:r w:rsidRPr="00A51924">
        <w:rPr>
          <w:rFonts w:ascii="Cambria" w:hAnsi="Cambria"/>
          <w:vertAlign w:val="superscript"/>
        </w:rPr>
        <w:t>-1</w:t>
      </w:r>
      <w:r w:rsidRPr="00A51924">
        <w:rPr>
          <w:rFonts w:ascii="Cambria" w:hAnsi="Cambria"/>
        </w:rPr>
        <w:t>), MnO Ex. HCl 25% (%) and the final study of Inceptisol soil on the planting media are as follows: Soil C-Organic (%), N-Total (%), P</w:t>
      </w:r>
      <w:r w:rsidRPr="00A51924">
        <w:rPr>
          <w:rFonts w:ascii="Cambria" w:hAnsi="Cambria"/>
          <w:vertAlign w:val="subscript"/>
        </w:rPr>
        <w:t>2</w:t>
      </w:r>
      <w:r w:rsidRPr="00A51924">
        <w:rPr>
          <w:rFonts w:ascii="Cambria" w:hAnsi="Cambria"/>
        </w:rPr>
        <w:t>O</w:t>
      </w:r>
      <w:r w:rsidRPr="00A51924">
        <w:rPr>
          <w:rFonts w:ascii="Cambria" w:hAnsi="Cambria"/>
          <w:vertAlign w:val="subscript"/>
        </w:rPr>
        <w:t>5</w:t>
      </w:r>
      <w:r w:rsidRPr="00A51924">
        <w:rPr>
          <w:rFonts w:ascii="Cambria" w:hAnsi="Cambria"/>
        </w:rPr>
        <w:t>-avl (P-Bray-I) (ppm P), Potential K</w:t>
      </w:r>
      <w:r w:rsidRPr="00A51924">
        <w:rPr>
          <w:rFonts w:ascii="Cambria" w:hAnsi="Cambria"/>
          <w:vertAlign w:val="subscript"/>
        </w:rPr>
        <w:t>2</w:t>
      </w:r>
      <w:r w:rsidRPr="00A51924">
        <w:rPr>
          <w:rFonts w:ascii="Cambria" w:hAnsi="Cambria"/>
        </w:rPr>
        <w:t>O Ex. HCl 25% (me.100 g</w:t>
      </w:r>
      <w:r w:rsidRPr="00A51924">
        <w:rPr>
          <w:rFonts w:ascii="Cambria" w:hAnsi="Cambria"/>
          <w:vertAlign w:val="superscript"/>
        </w:rPr>
        <w:t>-1</w:t>
      </w:r>
      <w:r w:rsidRPr="00A51924">
        <w:rPr>
          <w:rFonts w:ascii="Cambria" w:hAnsi="Cambria"/>
        </w:rPr>
        <w:t>), Cation Exchange Capacity (CEC) (me.100 g</w:t>
      </w:r>
      <w:r w:rsidRPr="00A51924">
        <w:rPr>
          <w:rFonts w:ascii="Cambria" w:hAnsi="Cambria"/>
          <w:vertAlign w:val="superscript"/>
        </w:rPr>
        <w:t>-1</w:t>
      </w:r>
      <w:r w:rsidRPr="00A51924">
        <w:rPr>
          <w:rFonts w:ascii="Cambria" w:hAnsi="Cambria"/>
        </w:rPr>
        <w:t>), Soil Acidity (pH) H</w:t>
      </w:r>
      <w:r w:rsidRPr="00A51924">
        <w:rPr>
          <w:rFonts w:ascii="Cambria" w:hAnsi="Cambria"/>
          <w:vertAlign w:val="subscript"/>
        </w:rPr>
        <w:t>2</w:t>
      </w:r>
      <w:r w:rsidRPr="00A51924">
        <w:rPr>
          <w:rFonts w:ascii="Cambria" w:hAnsi="Cambria"/>
        </w:rPr>
        <w:t>O, Al-dd (me.100 g</w:t>
      </w:r>
      <w:r w:rsidRPr="00A51924">
        <w:rPr>
          <w:rFonts w:ascii="Cambria" w:hAnsi="Cambria"/>
          <w:vertAlign w:val="superscript"/>
        </w:rPr>
        <w:t>-1</w:t>
      </w:r>
      <w:r w:rsidRPr="00A51924">
        <w:rPr>
          <w:rFonts w:ascii="Cambria" w:hAnsi="Cambria"/>
        </w:rPr>
        <w:t>), Al Saturation (%), Ca-dd (me.100 g</w:t>
      </w:r>
      <w:r w:rsidRPr="00A51924">
        <w:rPr>
          <w:rFonts w:ascii="Cambria" w:hAnsi="Cambria"/>
          <w:vertAlign w:val="superscript"/>
        </w:rPr>
        <w:t>-1</w:t>
      </w:r>
      <w:r w:rsidRPr="00A51924">
        <w:rPr>
          <w:rFonts w:ascii="Cambria" w:hAnsi="Cambria"/>
        </w:rPr>
        <w:t>), K-dd (me.100 g</w:t>
      </w:r>
      <w:r w:rsidRPr="00A51924">
        <w:rPr>
          <w:rFonts w:ascii="Cambria" w:hAnsi="Cambria"/>
          <w:vertAlign w:val="superscript"/>
        </w:rPr>
        <w:t>-1</w:t>
      </w:r>
      <w:r w:rsidRPr="00A51924">
        <w:rPr>
          <w:rFonts w:ascii="Cambria" w:hAnsi="Cambria"/>
        </w:rPr>
        <w:t>), Mg-dd (me.100 g</w:t>
      </w:r>
      <w:r w:rsidRPr="00A51924">
        <w:rPr>
          <w:rFonts w:ascii="Cambria" w:hAnsi="Cambria"/>
          <w:vertAlign w:val="superscript"/>
        </w:rPr>
        <w:t>-1</w:t>
      </w:r>
      <w:r w:rsidRPr="00A51924">
        <w:rPr>
          <w:rFonts w:ascii="Cambria" w:hAnsi="Cambria"/>
        </w:rPr>
        <w:t>), Na-dd (me.100 g</w:t>
      </w:r>
      <w:r w:rsidRPr="00A51924">
        <w:rPr>
          <w:rFonts w:ascii="Cambria" w:hAnsi="Cambria"/>
          <w:vertAlign w:val="superscript"/>
        </w:rPr>
        <w:t>-1</w:t>
      </w:r>
      <w:r w:rsidRPr="00A51924">
        <w:rPr>
          <w:rFonts w:ascii="Cambria" w:hAnsi="Cambria"/>
        </w:rPr>
        <w:t>), and vegetative growth, as well as vegetative growth of small red chilli (</w:t>
      </w:r>
      <w:r w:rsidRPr="00A51924">
        <w:rPr>
          <w:rFonts w:ascii="Cambria" w:hAnsi="Cambria"/>
          <w:i/>
        </w:rPr>
        <w:t xml:space="preserve">Capsicum frutescens </w:t>
      </w:r>
      <w:r w:rsidRPr="00A51924">
        <w:rPr>
          <w:rFonts w:ascii="Cambria" w:hAnsi="Cambria"/>
        </w:rPr>
        <w:t>‘Bird's Eye’) plants consisting of plant height (cm), root length (cm), number of chilli fruit.tree</w:t>
      </w:r>
      <w:r w:rsidRPr="00A51924">
        <w:rPr>
          <w:rFonts w:ascii="Cambria" w:hAnsi="Cambria"/>
          <w:vertAlign w:val="superscript"/>
        </w:rPr>
        <w:t xml:space="preserve">-1 </w:t>
      </w:r>
      <w:r w:rsidRPr="00A51924">
        <w:rPr>
          <w:rFonts w:ascii="Cambria" w:hAnsi="Cambria"/>
        </w:rPr>
        <w:t>(fruit).</w:t>
      </w:r>
    </w:p>
    <w:p w14:paraId="33FA99C4" w14:textId="77777777" w:rsidR="00AE5D06" w:rsidRPr="00354ED9" w:rsidRDefault="00AE5D06" w:rsidP="002E4049">
      <w:pPr>
        <w:spacing w:before="40" w:after="40" w:line="240" w:lineRule="auto"/>
        <w:ind w:firstLine="567"/>
        <w:contextualSpacing/>
        <w:jc w:val="both"/>
        <w:rPr>
          <w:rFonts w:ascii="Cambria" w:hAnsi="Cambria"/>
        </w:rPr>
      </w:pPr>
    </w:p>
    <w:p w14:paraId="2FE9CCFF" w14:textId="77777777" w:rsidR="00612CD5" w:rsidRPr="00354ED9" w:rsidRDefault="00612CD5" w:rsidP="00AE5D06">
      <w:pPr>
        <w:spacing w:beforeLines="40" w:before="96" w:afterLines="40" w:after="96" w:line="240" w:lineRule="auto"/>
        <w:contextualSpacing/>
        <w:jc w:val="both"/>
        <w:rPr>
          <w:rFonts w:ascii="Cambria" w:hAnsi="Cambria"/>
          <w:b/>
          <w:lang w:val="id-ID"/>
        </w:rPr>
      </w:pPr>
    </w:p>
    <w:p w14:paraId="376A0F7B" w14:textId="77777777" w:rsidR="00AE5D06" w:rsidRPr="00354ED9" w:rsidRDefault="00000000" w:rsidP="002E4049">
      <w:pPr>
        <w:spacing w:before="40" w:after="40" w:line="240" w:lineRule="auto"/>
        <w:contextualSpacing/>
        <w:jc w:val="both"/>
        <w:rPr>
          <w:rFonts w:ascii="Cambria" w:hAnsi="Cambria"/>
          <w:b/>
          <w:lang w:val="id-ID"/>
        </w:rPr>
      </w:pPr>
      <w:r w:rsidRPr="00354ED9">
        <w:rPr>
          <w:rFonts w:ascii="Cambria" w:hAnsi="Cambria"/>
          <w:b/>
          <w:lang w:val="id-ID"/>
        </w:rPr>
        <w:t>RESULT AND DISCUSSION</w:t>
      </w:r>
    </w:p>
    <w:p w14:paraId="7AE0A80A" w14:textId="77777777" w:rsidR="00BD7ADC" w:rsidRPr="00354ED9" w:rsidRDefault="00000000" w:rsidP="00BD7ADC">
      <w:pPr>
        <w:numPr>
          <w:ilvl w:val="0"/>
          <w:numId w:val="7"/>
        </w:numPr>
        <w:tabs>
          <w:tab w:val="left" w:pos="567"/>
        </w:tabs>
        <w:spacing w:before="40" w:after="40" w:line="240" w:lineRule="auto"/>
        <w:ind w:hanging="720"/>
        <w:rPr>
          <w:rFonts w:ascii="Cambria" w:hAnsi="Cambria"/>
          <w:b/>
        </w:rPr>
      </w:pPr>
      <w:r w:rsidRPr="00354ED9">
        <w:rPr>
          <w:rFonts w:ascii="Cambria" w:hAnsi="Cambria"/>
          <w:b/>
        </w:rPr>
        <w:t>Results of Analysis of Physical and Chemical Properties of Inceptisol Soil</w:t>
      </w:r>
    </w:p>
    <w:p w14:paraId="179B76FB" w14:textId="77777777" w:rsidR="00BD7ADC" w:rsidRPr="00BD7ADC" w:rsidRDefault="00000000" w:rsidP="00BD7ADC">
      <w:pPr>
        <w:numPr>
          <w:ilvl w:val="0"/>
          <w:numId w:val="8"/>
        </w:numPr>
        <w:tabs>
          <w:tab w:val="left" w:pos="720"/>
        </w:tabs>
        <w:spacing w:before="40" w:after="40" w:line="240" w:lineRule="auto"/>
        <w:ind w:left="851" w:hanging="284"/>
        <w:contextualSpacing/>
        <w:jc w:val="both"/>
        <w:rPr>
          <w:rFonts w:ascii="Cambria" w:hAnsi="Cambria"/>
          <w:b/>
          <w:i/>
        </w:rPr>
      </w:pPr>
      <w:r w:rsidRPr="00BD7ADC">
        <w:rPr>
          <w:rFonts w:ascii="Cambria" w:hAnsi="Cambria"/>
          <w:b/>
          <w:i/>
        </w:rPr>
        <w:t>Initial Soil Analysis – Inceptisol Soil</w:t>
      </w:r>
    </w:p>
    <w:p w14:paraId="42302BAA" w14:textId="77777777" w:rsidR="00BD7ADC" w:rsidRPr="00BD7ADC" w:rsidRDefault="00000000" w:rsidP="00BD7ADC">
      <w:pPr>
        <w:tabs>
          <w:tab w:val="left" w:pos="720"/>
        </w:tabs>
        <w:spacing w:before="40" w:after="40" w:line="240" w:lineRule="auto"/>
        <w:ind w:firstLine="567"/>
        <w:contextualSpacing/>
        <w:jc w:val="both"/>
        <w:rPr>
          <w:rFonts w:ascii="Cambria" w:hAnsi="Cambria"/>
        </w:rPr>
      </w:pPr>
      <w:r w:rsidRPr="00BD7ADC">
        <w:rPr>
          <w:rFonts w:ascii="Cambria" w:hAnsi="Cambria"/>
        </w:rPr>
        <w:t>An initial analysis of the quality and fertility of Inceptisol soil was conducted to determine the characteristics of planting media in Inceptisol soil. The following Table 1 lists the results of the initial soil analysis on Inceptisol Soil as follows:</w:t>
      </w:r>
    </w:p>
    <w:p w14:paraId="4D07E03D" w14:textId="77777777" w:rsidR="00BD7ADC" w:rsidRPr="00BD7ADC" w:rsidRDefault="00BD7ADC" w:rsidP="00BD7ADC">
      <w:pPr>
        <w:tabs>
          <w:tab w:val="left" w:pos="720"/>
        </w:tabs>
        <w:spacing w:before="40" w:after="40" w:line="240" w:lineRule="auto"/>
        <w:ind w:firstLine="567"/>
        <w:contextualSpacing/>
        <w:jc w:val="both"/>
        <w:rPr>
          <w:rFonts w:ascii="Cambria" w:hAnsi="Cambria"/>
        </w:rPr>
      </w:pPr>
    </w:p>
    <w:p w14:paraId="423268F0" w14:textId="77777777" w:rsidR="00BD7ADC" w:rsidRPr="00354ED9" w:rsidRDefault="00000000" w:rsidP="00BD7ADC">
      <w:pPr>
        <w:tabs>
          <w:tab w:val="left" w:pos="720"/>
        </w:tabs>
        <w:spacing w:before="40" w:after="40" w:line="240" w:lineRule="auto"/>
        <w:ind w:firstLine="567"/>
        <w:contextualSpacing/>
        <w:jc w:val="center"/>
        <w:rPr>
          <w:rFonts w:ascii="Cambria" w:hAnsi="Cambria"/>
          <w:b/>
          <w:bCs/>
        </w:rPr>
      </w:pPr>
      <w:r w:rsidRPr="00BD7ADC">
        <w:rPr>
          <w:rFonts w:ascii="Cambria" w:hAnsi="Cambria"/>
          <w:b/>
          <w:bCs/>
        </w:rPr>
        <w:t>Table 1. Preliminary Soil Analysis Results – Inceptisol Soil</w:t>
      </w:r>
    </w:p>
    <w:tbl>
      <w:tblPr>
        <w:tblW w:w="9123" w:type="dxa"/>
        <w:jc w:val="center"/>
        <w:tblLook w:val="04A0" w:firstRow="1" w:lastRow="0" w:firstColumn="1" w:lastColumn="0" w:noHBand="0" w:noVBand="1"/>
      </w:tblPr>
      <w:tblGrid>
        <w:gridCol w:w="2086"/>
        <w:gridCol w:w="2614"/>
        <w:gridCol w:w="1508"/>
        <w:gridCol w:w="1460"/>
        <w:gridCol w:w="1861"/>
      </w:tblGrid>
      <w:tr w:rsidR="00F5454C" w14:paraId="16F3CCCD" w14:textId="77777777" w:rsidTr="00BD7ADC">
        <w:trPr>
          <w:trHeight w:val="509"/>
          <w:jc w:val="center"/>
        </w:trPr>
        <w:tc>
          <w:tcPr>
            <w:tcW w:w="2086" w:type="dxa"/>
            <w:vMerge w:val="restart"/>
            <w:tcBorders>
              <w:top w:val="single" w:sz="4" w:space="0" w:color="auto"/>
              <w:bottom w:val="single" w:sz="4" w:space="0" w:color="auto"/>
            </w:tcBorders>
            <w:vAlign w:val="center"/>
            <w:hideMark/>
          </w:tcPr>
          <w:p w14:paraId="22F0A4CB" w14:textId="77777777" w:rsidR="00BD7ADC" w:rsidRPr="00BD7ADC" w:rsidRDefault="00000000" w:rsidP="00BD7ADC">
            <w:pPr>
              <w:tabs>
                <w:tab w:val="left" w:pos="720"/>
              </w:tabs>
              <w:spacing w:before="40" w:after="40" w:line="240" w:lineRule="auto"/>
              <w:ind w:firstLine="567"/>
              <w:contextualSpacing/>
              <w:jc w:val="both"/>
              <w:rPr>
                <w:rFonts w:ascii="Cambria" w:hAnsi="Cambria"/>
                <w:b/>
                <w:bCs/>
                <w:sz w:val="20"/>
                <w:szCs w:val="20"/>
              </w:rPr>
            </w:pPr>
            <w:r w:rsidRPr="00BD7ADC">
              <w:rPr>
                <w:rFonts w:ascii="Cambria" w:hAnsi="Cambria"/>
                <w:b/>
                <w:bCs/>
                <w:sz w:val="20"/>
                <w:szCs w:val="20"/>
              </w:rPr>
              <w:lastRenderedPageBreak/>
              <w:t>Texture</w:t>
            </w:r>
          </w:p>
        </w:tc>
        <w:tc>
          <w:tcPr>
            <w:tcW w:w="2614" w:type="dxa"/>
            <w:vMerge w:val="restart"/>
            <w:tcBorders>
              <w:top w:val="single" w:sz="4" w:space="0" w:color="auto"/>
              <w:bottom w:val="single" w:sz="4" w:space="0" w:color="auto"/>
            </w:tcBorders>
            <w:vAlign w:val="center"/>
            <w:hideMark/>
          </w:tcPr>
          <w:p w14:paraId="04EEBEEA" w14:textId="77777777" w:rsidR="00BD7ADC" w:rsidRPr="00BD7ADC" w:rsidRDefault="00000000" w:rsidP="00BD7ADC">
            <w:pPr>
              <w:tabs>
                <w:tab w:val="left" w:pos="720"/>
              </w:tabs>
              <w:spacing w:before="40" w:after="40" w:line="240" w:lineRule="auto"/>
              <w:ind w:firstLine="567"/>
              <w:contextualSpacing/>
              <w:jc w:val="both"/>
              <w:rPr>
                <w:rFonts w:ascii="Cambria" w:hAnsi="Cambria"/>
                <w:b/>
                <w:bCs/>
                <w:sz w:val="20"/>
                <w:szCs w:val="20"/>
              </w:rPr>
            </w:pPr>
            <w:r w:rsidRPr="00BD7ADC">
              <w:rPr>
                <w:rFonts w:ascii="Cambria" w:hAnsi="Cambria"/>
                <w:b/>
                <w:bCs/>
                <w:sz w:val="20"/>
                <w:szCs w:val="20"/>
              </w:rPr>
              <w:t>Method of Analysis</w:t>
            </w:r>
          </w:p>
        </w:tc>
        <w:tc>
          <w:tcPr>
            <w:tcW w:w="1508" w:type="dxa"/>
            <w:vMerge w:val="restart"/>
            <w:tcBorders>
              <w:top w:val="single" w:sz="4" w:space="0" w:color="auto"/>
              <w:bottom w:val="single" w:sz="4" w:space="0" w:color="auto"/>
            </w:tcBorders>
            <w:vAlign w:val="center"/>
            <w:hideMark/>
          </w:tcPr>
          <w:p w14:paraId="561ECF34" w14:textId="77777777" w:rsidR="00BD7ADC" w:rsidRPr="00BD7ADC" w:rsidRDefault="00000000" w:rsidP="00BD7ADC">
            <w:pPr>
              <w:tabs>
                <w:tab w:val="left" w:pos="720"/>
              </w:tabs>
              <w:spacing w:before="40" w:after="40" w:line="240" w:lineRule="auto"/>
              <w:ind w:firstLine="567"/>
              <w:contextualSpacing/>
              <w:jc w:val="both"/>
              <w:rPr>
                <w:rFonts w:ascii="Cambria" w:hAnsi="Cambria"/>
                <w:b/>
                <w:bCs/>
                <w:sz w:val="20"/>
                <w:szCs w:val="20"/>
              </w:rPr>
            </w:pPr>
            <w:r w:rsidRPr="00BD7ADC">
              <w:rPr>
                <w:rFonts w:ascii="Cambria" w:hAnsi="Cambria"/>
                <w:b/>
                <w:bCs/>
                <w:sz w:val="20"/>
                <w:szCs w:val="20"/>
              </w:rPr>
              <w:t>Units</w:t>
            </w:r>
          </w:p>
        </w:tc>
        <w:tc>
          <w:tcPr>
            <w:tcW w:w="1206" w:type="dxa"/>
            <w:vMerge w:val="restart"/>
            <w:tcBorders>
              <w:top w:val="single" w:sz="4" w:space="0" w:color="auto"/>
              <w:bottom w:val="single" w:sz="4" w:space="0" w:color="auto"/>
            </w:tcBorders>
            <w:vAlign w:val="center"/>
            <w:hideMark/>
          </w:tcPr>
          <w:p w14:paraId="76FFE091" w14:textId="77777777" w:rsidR="00BD7ADC" w:rsidRPr="00BD7ADC" w:rsidRDefault="00000000" w:rsidP="00BD7ADC">
            <w:pPr>
              <w:tabs>
                <w:tab w:val="left" w:pos="720"/>
              </w:tabs>
              <w:spacing w:before="40" w:after="40" w:line="240" w:lineRule="auto"/>
              <w:ind w:firstLine="567"/>
              <w:contextualSpacing/>
              <w:jc w:val="both"/>
              <w:rPr>
                <w:rFonts w:ascii="Cambria" w:hAnsi="Cambria"/>
                <w:b/>
                <w:bCs/>
                <w:sz w:val="20"/>
                <w:szCs w:val="20"/>
              </w:rPr>
            </w:pPr>
            <w:r w:rsidRPr="00BD7ADC">
              <w:rPr>
                <w:rFonts w:ascii="Cambria" w:hAnsi="Cambria"/>
                <w:b/>
                <w:bCs/>
                <w:sz w:val="20"/>
                <w:szCs w:val="20"/>
              </w:rPr>
              <w:t>Results</w:t>
            </w:r>
          </w:p>
        </w:tc>
        <w:tc>
          <w:tcPr>
            <w:tcW w:w="1709" w:type="dxa"/>
            <w:vMerge w:val="restart"/>
            <w:tcBorders>
              <w:top w:val="single" w:sz="4" w:space="0" w:color="auto"/>
              <w:bottom w:val="single" w:sz="4" w:space="0" w:color="auto"/>
            </w:tcBorders>
            <w:vAlign w:val="center"/>
            <w:hideMark/>
          </w:tcPr>
          <w:p w14:paraId="51572358" w14:textId="77777777" w:rsidR="00BD7ADC" w:rsidRPr="00BD7ADC" w:rsidRDefault="00000000" w:rsidP="00BD7ADC">
            <w:pPr>
              <w:tabs>
                <w:tab w:val="left" w:pos="720"/>
              </w:tabs>
              <w:spacing w:before="40" w:after="40" w:line="240" w:lineRule="auto"/>
              <w:ind w:firstLine="567"/>
              <w:contextualSpacing/>
              <w:jc w:val="both"/>
              <w:rPr>
                <w:rFonts w:ascii="Cambria" w:hAnsi="Cambria"/>
                <w:b/>
                <w:bCs/>
                <w:sz w:val="20"/>
                <w:szCs w:val="20"/>
              </w:rPr>
            </w:pPr>
            <w:r w:rsidRPr="00BD7ADC">
              <w:rPr>
                <w:rFonts w:ascii="Cambria" w:hAnsi="Cambria"/>
                <w:b/>
                <w:bCs/>
                <w:sz w:val="20"/>
                <w:szCs w:val="20"/>
              </w:rPr>
              <w:t>Description</w:t>
            </w:r>
          </w:p>
        </w:tc>
      </w:tr>
      <w:tr w:rsidR="00F5454C" w14:paraId="02CC2554" w14:textId="77777777" w:rsidTr="00BD7ADC">
        <w:trPr>
          <w:trHeight w:val="509"/>
          <w:jc w:val="center"/>
        </w:trPr>
        <w:tc>
          <w:tcPr>
            <w:tcW w:w="2086" w:type="dxa"/>
            <w:vMerge/>
            <w:tcBorders>
              <w:top w:val="single" w:sz="4" w:space="0" w:color="auto"/>
              <w:bottom w:val="single" w:sz="4" w:space="0" w:color="auto"/>
            </w:tcBorders>
            <w:vAlign w:val="center"/>
            <w:hideMark/>
          </w:tcPr>
          <w:p w14:paraId="2204822E" w14:textId="77777777" w:rsidR="00BD7ADC" w:rsidRPr="00BD7ADC" w:rsidRDefault="00BD7ADC" w:rsidP="00BD7ADC">
            <w:pPr>
              <w:tabs>
                <w:tab w:val="left" w:pos="720"/>
              </w:tabs>
              <w:spacing w:before="40" w:after="40" w:line="240" w:lineRule="auto"/>
              <w:ind w:firstLine="567"/>
              <w:contextualSpacing/>
              <w:jc w:val="both"/>
              <w:rPr>
                <w:rFonts w:ascii="Cambria" w:hAnsi="Cambria"/>
                <w:b/>
                <w:bCs/>
                <w:sz w:val="20"/>
                <w:szCs w:val="20"/>
              </w:rPr>
            </w:pPr>
          </w:p>
        </w:tc>
        <w:tc>
          <w:tcPr>
            <w:tcW w:w="2614" w:type="dxa"/>
            <w:vMerge/>
            <w:tcBorders>
              <w:top w:val="single" w:sz="4" w:space="0" w:color="auto"/>
              <w:bottom w:val="single" w:sz="4" w:space="0" w:color="auto"/>
            </w:tcBorders>
            <w:vAlign w:val="center"/>
            <w:hideMark/>
          </w:tcPr>
          <w:p w14:paraId="2202F0E9" w14:textId="77777777" w:rsidR="00BD7ADC" w:rsidRPr="00BD7ADC" w:rsidRDefault="00BD7ADC" w:rsidP="00BD7ADC">
            <w:pPr>
              <w:tabs>
                <w:tab w:val="left" w:pos="720"/>
              </w:tabs>
              <w:spacing w:before="40" w:after="40" w:line="240" w:lineRule="auto"/>
              <w:ind w:firstLine="567"/>
              <w:contextualSpacing/>
              <w:jc w:val="both"/>
              <w:rPr>
                <w:rFonts w:ascii="Cambria" w:hAnsi="Cambria"/>
                <w:b/>
                <w:bCs/>
                <w:sz w:val="20"/>
                <w:szCs w:val="20"/>
              </w:rPr>
            </w:pPr>
          </w:p>
        </w:tc>
        <w:tc>
          <w:tcPr>
            <w:tcW w:w="1508" w:type="dxa"/>
            <w:vMerge/>
            <w:tcBorders>
              <w:top w:val="single" w:sz="4" w:space="0" w:color="auto"/>
              <w:bottom w:val="single" w:sz="4" w:space="0" w:color="auto"/>
            </w:tcBorders>
            <w:vAlign w:val="center"/>
            <w:hideMark/>
          </w:tcPr>
          <w:p w14:paraId="65E0D815" w14:textId="77777777" w:rsidR="00BD7ADC" w:rsidRPr="00BD7ADC" w:rsidRDefault="00BD7ADC" w:rsidP="00BD7ADC">
            <w:pPr>
              <w:tabs>
                <w:tab w:val="left" w:pos="720"/>
              </w:tabs>
              <w:spacing w:before="40" w:after="40" w:line="240" w:lineRule="auto"/>
              <w:ind w:firstLine="567"/>
              <w:contextualSpacing/>
              <w:jc w:val="both"/>
              <w:rPr>
                <w:rFonts w:ascii="Cambria" w:hAnsi="Cambria"/>
                <w:b/>
                <w:bCs/>
                <w:sz w:val="20"/>
                <w:szCs w:val="20"/>
              </w:rPr>
            </w:pPr>
          </w:p>
        </w:tc>
        <w:tc>
          <w:tcPr>
            <w:tcW w:w="1206" w:type="dxa"/>
            <w:vMerge/>
            <w:tcBorders>
              <w:top w:val="single" w:sz="4" w:space="0" w:color="auto"/>
              <w:bottom w:val="single" w:sz="4" w:space="0" w:color="auto"/>
            </w:tcBorders>
            <w:vAlign w:val="center"/>
            <w:hideMark/>
          </w:tcPr>
          <w:p w14:paraId="7DCE9BBB" w14:textId="77777777" w:rsidR="00BD7ADC" w:rsidRPr="00BD7ADC" w:rsidRDefault="00BD7ADC" w:rsidP="00BD7ADC">
            <w:pPr>
              <w:tabs>
                <w:tab w:val="left" w:pos="720"/>
              </w:tabs>
              <w:spacing w:before="40" w:after="40" w:line="240" w:lineRule="auto"/>
              <w:ind w:firstLine="567"/>
              <w:contextualSpacing/>
              <w:jc w:val="both"/>
              <w:rPr>
                <w:rFonts w:ascii="Cambria" w:hAnsi="Cambria"/>
                <w:b/>
                <w:bCs/>
                <w:sz w:val="20"/>
                <w:szCs w:val="20"/>
              </w:rPr>
            </w:pPr>
          </w:p>
        </w:tc>
        <w:tc>
          <w:tcPr>
            <w:tcW w:w="1709" w:type="dxa"/>
            <w:vMerge/>
            <w:tcBorders>
              <w:top w:val="single" w:sz="4" w:space="0" w:color="auto"/>
              <w:bottom w:val="single" w:sz="4" w:space="0" w:color="auto"/>
            </w:tcBorders>
            <w:vAlign w:val="center"/>
            <w:hideMark/>
          </w:tcPr>
          <w:p w14:paraId="7A3949AB" w14:textId="77777777" w:rsidR="00BD7ADC" w:rsidRPr="00BD7ADC" w:rsidRDefault="00BD7ADC" w:rsidP="00BD7ADC">
            <w:pPr>
              <w:tabs>
                <w:tab w:val="left" w:pos="720"/>
              </w:tabs>
              <w:spacing w:before="40" w:after="40" w:line="240" w:lineRule="auto"/>
              <w:ind w:firstLine="567"/>
              <w:contextualSpacing/>
              <w:jc w:val="both"/>
              <w:rPr>
                <w:rFonts w:ascii="Cambria" w:hAnsi="Cambria"/>
                <w:b/>
                <w:bCs/>
                <w:sz w:val="20"/>
                <w:szCs w:val="20"/>
              </w:rPr>
            </w:pPr>
          </w:p>
        </w:tc>
      </w:tr>
      <w:tr w:rsidR="00F5454C" w14:paraId="186BDEB6" w14:textId="77777777" w:rsidTr="00BD7ADC">
        <w:trPr>
          <w:trHeight w:val="254"/>
          <w:jc w:val="center"/>
        </w:trPr>
        <w:tc>
          <w:tcPr>
            <w:tcW w:w="2086" w:type="dxa"/>
            <w:tcBorders>
              <w:top w:val="single" w:sz="4" w:space="0" w:color="auto"/>
            </w:tcBorders>
            <w:noWrap/>
            <w:vAlign w:val="center"/>
            <w:hideMark/>
          </w:tcPr>
          <w:p w14:paraId="6CC0B2E6"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Sand</w:t>
            </w:r>
          </w:p>
        </w:tc>
        <w:tc>
          <w:tcPr>
            <w:tcW w:w="2614" w:type="dxa"/>
            <w:vMerge w:val="restart"/>
            <w:tcBorders>
              <w:top w:val="single" w:sz="4" w:space="0" w:color="auto"/>
            </w:tcBorders>
            <w:vAlign w:val="center"/>
            <w:hideMark/>
          </w:tcPr>
          <w:p w14:paraId="379C01EA"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Hydrometer</w:t>
            </w:r>
          </w:p>
        </w:tc>
        <w:tc>
          <w:tcPr>
            <w:tcW w:w="1508" w:type="dxa"/>
            <w:vMerge w:val="restart"/>
            <w:tcBorders>
              <w:top w:val="single" w:sz="4" w:space="0" w:color="auto"/>
            </w:tcBorders>
            <w:vAlign w:val="center"/>
            <w:hideMark/>
          </w:tcPr>
          <w:p w14:paraId="77024F30"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w:t>
            </w:r>
          </w:p>
        </w:tc>
        <w:tc>
          <w:tcPr>
            <w:tcW w:w="1206" w:type="dxa"/>
            <w:tcBorders>
              <w:top w:val="single" w:sz="4" w:space="0" w:color="auto"/>
            </w:tcBorders>
            <w:noWrap/>
            <w:vAlign w:val="center"/>
            <w:hideMark/>
          </w:tcPr>
          <w:p w14:paraId="2EA4D4D5"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89,00</w:t>
            </w:r>
          </w:p>
        </w:tc>
        <w:tc>
          <w:tcPr>
            <w:tcW w:w="1709" w:type="dxa"/>
            <w:vMerge w:val="restart"/>
            <w:tcBorders>
              <w:top w:val="nil"/>
              <w:bottom w:val="single" w:sz="4" w:space="0" w:color="000000"/>
            </w:tcBorders>
            <w:noWrap/>
            <w:vAlign w:val="center"/>
            <w:hideMark/>
          </w:tcPr>
          <w:p w14:paraId="0485B48B" w14:textId="77777777" w:rsidR="00BD7ADC" w:rsidRPr="00BD7ADC" w:rsidRDefault="00000000" w:rsidP="00BD7ADC">
            <w:pPr>
              <w:tabs>
                <w:tab w:val="left" w:pos="720"/>
              </w:tabs>
              <w:spacing w:before="40" w:after="40" w:line="240" w:lineRule="auto"/>
              <w:ind w:firstLine="567"/>
              <w:contextualSpacing/>
              <w:jc w:val="both"/>
              <w:rPr>
                <w:rFonts w:ascii="Cambria" w:hAnsi="Cambria"/>
                <w:i/>
                <w:sz w:val="20"/>
                <w:szCs w:val="20"/>
              </w:rPr>
            </w:pPr>
            <w:r w:rsidRPr="00BD7ADC">
              <w:rPr>
                <w:rFonts w:ascii="Cambria" w:hAnsi="Cambria"/>
                <w:i/>
                <w:sz w:val="20"/>
                <w:szCs w:val="20"/>
              </w:rPr>
              <w:t>Loam Sandy</w:t>
            </w:r>
          </w:p>
        </w:tc>
      </w:tr>
      <w:tr w:rsidR="00F5454C" w14:paraId="291B9F3A" w14:textId="77777777" w:rsidTr="00BD7ADC">
        <w:trPr>
          <w:trHeight w:val="254"/>
          <w:jc w:val="center"/>
        </w:trPr>
        <w:tc>
          <w:tcPr>
            <w:tcW w:w="2086" w:type="dxa"/>
            <w:tcBorders>
              <w:top w:val="nil"/>
            </w:tcBorders>
            <w:noWrap/>
            <w:vAlign w:val="center"/>
            <w:hideMark/>
          </w:tcPr>
          <w:p w14:paraId="7D4BB804"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Dust</w:t>
            </w:r>
          </w:p>
        </w:tc>
        <w:tc>
          <w:tcPr>
            <w:tcW w:w="2614" w:type="dxa"/>
            <w:vMerge/>
            <w:tcBorders>
              <w:top w:val="nil"/>
            </w:tcBorders>
            <w:vAlign w:val="center"/>
            <w:hideMark/>
          </w:tcPr>
          <w:p w14:paraId="5CDF71BB"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508" w:type="dxa"/>
            <w:vMerge/>
            <w:tcBorders>
              <w:top w:val="nil"/>
            </w:tcBorders>
            <w:vAlign w:val="center"/>
            <w:hideMark/>
          </w:tcPr>
          <w:p w14:paraId="031AEB94"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206" w:type="dxa"/>
            <w:tcBorders>
              <w:top w:val="nil"/>
            </w:tcBorders>
            <w:noWrap/>
            <w:vAlign w:val="center"/>
            <w:hideMark/>
          </w:tcPr>
          <w:p w14:paraId="3ACC3BAC"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17,30</w:t>
            </w:r>
          </w:p>
        </w:tc>
        <w:tc>
          <w:tcPr>
            <w:tcW w:w="1709" w:type="dxa"/>
            <w:vMerge/>
            <w:tcBorders>
              <w:top w:val="nil"/>
              <w:bottom w:val="single" w:sz="4" w:space="0" w:color="000000"/>
            </w:tcBorders>
            <w:vAlign w:val="center"/>
            <w:hideMark/>
          </w:tcPr>
          <w:p w14:paraId="481A0416"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r>
      <w:tr w:rsidR="00F5454C" w14:paraId="6201292A" w14:textId="77777777" w:rsidTr="00BD7ADC">
        <w:trPr>
          <w:trHeight w:val="254"/>
          <w:jc w:val="center"/>
        </w:trPr>
        <w:tc>
          <w:tcPr>
            <w:tcW w:w="2086" w:type="dxa"/>
            <w:tcBorders>
              <w:top w:val="nil"/>
              <w:bottom w:val="single" w:sz="4" w:space="0" w:color="auto"/>
            </w:tcBorders>
            <w:noWrap/>
            <w:vAlign w:val="center"/>
            <w:hideMark/>
          </w:tcPr>
          <w:p w14:paraId="23B848BE"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Clay</w:t>
            </w:r>
          </w:p>
        </w:tc>
        <w:tc>
          <w:tcPr>
            <w:tcW w:w="2614" w:type="dxa"/>
            <w:vMerge/>
            <w:tcBorders>
              <w:top w:val="nil"/>
              <w:bottom w:val="single" w:sz="4" w:space="0" w:color="auto"/>
            </w:tcBorders>
            <w:vAlign w:val="center"/>
            <w:hideMark/>
          </w:tcPr>
          <w:p w14:paraId="6FCB5E3D"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508" w:type="dxa"/>
            <w:vMerge/>
            <w:tcBorders>
              <w:top w:val="nil"/>
              <w:bottom w:val="single" w:sz="4" w:space="0" w:color="auto"/>
            </w:tcBorders>
            <w:vAlign w:val="center"/>
            <w:hideMark/>
          </w:tcPr>
          <w:p w14:paraId="67EB335B"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206" w:type="dxa"/>
            <w:tcBorders>
              <w:top w:val="nil"/>
              <w:bottom w:val="single" w:sz="4" w:space="0" w:color="auto"/>
            </w:tcBorders>
            <w:noWrap/>
            <w:vAlign w:val="center"/>
            <w:hideMark/>
          </w:tcPr>
          <w:p w14:paraId="451E2B29"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3,22</w:t>
            </w:r>
          </w:p>
        </w:tc>
        <w:tc>
          <w:tcPr>
            <w:tcW w:w="1709" w:type="dxa"/>
            <w:vMerge/>
            <w:tcBorders>
              <w:top w:val="nil"/>
              <w:bottom w:val="single" w:sz="4" w:space="0" w:color="000000"/>
            </w:tcBorders>
            <w:vAlign w:val="center"/>
            <w:hideMark/>
          </w:tcPr>
          <w:p w14:paraId="316A9C76"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r>
      <w:tr w:rsidR="00F5454C" w14:paraId="4C51A622" w14:textId="77777777" w:rsidTr="00BD7ADC">
        <w:trPr>
          <w:trHeight w:val="509"/>
          <w:jc w:val="center"/>
        </w:trPr>
        <w:tc>
          <w:tcPr>
            <w:tcW w:w="2086" w:type="dxa"/>
            <w:vMerge w:val="restart"/>
            <w:tcBorders>
              <w:top w:val="nil"/>
              <w:bottom w:val="single" w:sz="4" w:space="0" w:color="auto"/>
            </w:tcBorders>
            <w:vAlign w:val="center"/>
            <w:hideMark/>
          </w:tcPr>
          <w:p w14:paraId="61952957" w14:textId="77777777" w:rsidR="00BD7ADC" w:rsidRPr="00BD7ADC" w:rsidRDefault="00000000" w:rsidP="00BD7ADC">
            <w:pPr>
              <w:tabs>
                <w:tab w:val="left" w:pos="720"/>
              </w:tabs>
              <w:spacing w:before="40" w:after="40" w:line="240" w:lineRule="auto"/>
              <w:ind w:firstLine="567"/>
              <w:contextualSpacing/>
              <w:jc w:val="both"/>
              <w:rPr>
                <w:rFonts w:ascii="Cambria" w:hAnsi="Cambria"/>
                <w:b/>
                <w:bCs/>
                <w:sz w:val="20"/>
                <w:szCs w:val="20"/>
              </w:rPr>
            </w:pPr>
            <w:r w:rsidRPr="00BD7ADC">
              <w:rPr>
                <w:rFonts w:ascii="Cambria" w:hAnsi="Cambria"/>
                <w:b/>
                <w:bCs/>
                <w:sz w:val="20"/>
                <w:szCs w:val="20"/>
              </w:rPr>
              <w:t>Analysis</w:t>
            </w:r>
          </w:p>
        </w:tc>
        <w:tc>
          <w:tcPr>
            <w:tcW w:w="2614" w:type="dxa"/>
            <w:vMerge w:val="restart"/>
            <w:tcBorders>
              <w:top w:val="nil"/>
              <w:bottom w:val="single" w:sz="4" w:space="0" w:color="auto"/>
            </w:tcBorders>
            <w:vAlign w:val="center"/>
            <w:hideMark/>
          </w:tcPr>
          <w:p w14:paraId="325FDCD3" w14:textId="77777777" w:rsidR="00BD7ADC" w:rsidRPr="00BD7ADC" w:rsidRDefault="00000000" w:rsidP="00BD7ADC">
            <w:pPr>
              <w:tabs>
                <w:tab w:val="left" w:pos="720"/>
              </w:tabs>
              <w:spacing w:before="40" w:after="40" w:line="240" w:lineRule="auto"/>
              <w:ind w:firstLine="567"/>
              <w:contextualSpacing/>
              <w:jc w:val="both"/>
              <w:rPr>
                <w:rFonts w:ascii="Cambria" w:hAnsi="Cambria"/>
                <w:b/>
                <w:bCs/>
                <w:sz w:val="20"/>
                <w:szCs w:val="20"/>
              </w:rPr>
            </w:pPr>
            <w:r w:rsidRPr="00BD7ADC">
              <w:rPr>
                <w:rFonts w:ascii="Cambria" w:hAnsi="Cambria"/>
                <w:b/>
                <w:bCs/>
                <w:sz w:val="20"/>
                <w:szCs w:val="20"/>
              </w:rPr>
              <w:t>Method of Analysis</w:t>
            </w:r>
          </w:p>
        </w:tc>
        <w:tc>
          <w:tcPr>
            <w:tcW w:w="1508" w:type="dxa"/>
            <w:vMerge w:val="restart"/>
            <w:tcBorders>
              <w:top w:val="nil"/>
              <w:bottom w:val="single" w:sz="4" w:space="0" w:color="auto"/>
            </w:tcBorders>
            <w:vAlign w:val="center"/>
            <w:hideMark/>
          </w:tcPr>
          <w:p w14:paraId="22A76BE9" w14:textId="77777777" w:rsidR="00BD7ADC" w:rsidRPr="00BD7ADC" w:rsidRDefault="00000000" w:rsidP="00BD7ADC">
            <w:pPr>
              <w:tabs>
                <w:tab w:val="left" w:pos="720"/>
              </w:tabs>
              <w:spacing w:before="40" w:after="40" w:line="240" w:lineRule="auto"/>
              <w:ind w:firstLine="567"/>
              <w:contextualSpacing/>
              <w:jc w:val="both"/>
              <w:rPr>
                <w:rFonts w:ascii="Cambria" w:hAnsi="Cambria"/>
                <w:b/>
                <w:bCs/>
                <w:sz w:val="20"/>
                <w:szCs w:val="20"/>
              </w:rPr>
            </w:pPr>
            <w:r w:rsidRPr="00BD7ADC">
              <w:rPr>
                <w:rFonts w:ascii="Cambria" w:hAnsi="Cambria"/>
                <w:b/>
                <w:bCs/>
                <w:sz w:val="20"/>
                <w:szCs w:val="20"/>
              </w:rPr>
              <w:t>Units</w:t>
            </w:r>
          </w:p>
        </w:tc>
        <w:tc>
          <w:tcPr>
            <w:tcW w:w="1206" w:type="dxa"/>
            <w:vMerge w:val="restart"/>
            <w:tcBorders>
              <w:top w:val="nil"/>
              <w:bottom w:val="single" w:sz="4" w:space="0" w:color="auto"/>
            </w:tcBorders>
            <w:vAlign w:val="center"/>
            <w:hideMark/>
          </w:tcPr>
          <w:p w14:paraId="0BE39AA5" w14:textId="77777777" w:rsidR="00BD7ADC" w:rsidRPr="00BD7ADC" w:rsidRDefault="00000000" w:rsidP="00BD7ADC">
            <w:pPr>
              <w:tabs>
                <w:tab w:val="left" w:pos="720"/>
              </w:tabs>
              <w:spacing w:before="40" w:after="40" w:line="240" w:lineRule="auto"/>
              <w:ind w:firstLine="567"/>
              <w:contextualSpacing/>
              <w:jc w:val="both"/>
              <w:rPr>
                <w:rFonts w:ascii="Cambria" w:hAnsi="Cambria"/>
                <w:b/>
                <w:bCs/>
                <w:sz w:val="20"/>
                <w:szCs w:val="20"/>
              </w:rPr>
            </w:pPr>
            <w:r w:rsidRPr="00BD7ADC">
              <w:rPr>
                <w:rFonts w:ascii="Cambria" w:hAnsi="Cambria"/>
                <w:b/>
                <w:bCs/>
                <w:sz w:val="20"/>
                <w:szCs w:val="20"/>
              </w:rPr>
              <w:t>Results</w:t>
            </w:r>
          </w:p>
        </w:tc>
        <w:tc>
          <w:tcPr>
            <w:tcW w:w="1709" w:type="dxa"/>
            <w:vMerge w:val="restart"/>
            <w:tcBorders>
              <w:top w:val="nil"/>
              <w:bottom w:val="single" w:sz="4" w:space="0" w:color="auto"/>
            </w:tcBorders>
            <w:vAlign w:val="center"/>
            <w:hideMark/>
          </w:tcPr>
          <w:p w14:paraId="35B06CFB" w14:textId="77777777" w:rsidR="00BD7ADC" w:rsidRPr="00BD7ADC" w:rsidRDefault="00000000" w:rsidP="00BD7ADC">
            <w:pPr>
              <w:tabs>
                <w:tab w:val="left" w:pos="720"/>
              </w:tabs>
              <w:spacing w:before="40" w:after="40" w:line="240" w:lineRule="auto"/>
              <w:ind w:firstLine="567"/>
              <w:contextualSpacing/>
              <w:jc w:val="both"/>
              <w:rPr>
                <w:rFonts w:ascii="Cambria" w:hAnsi="Cambria"/>
                <w:b/>
                <w:bCs/>
                <w:sz w:val="20"/>
                <w:szCs w:val="20"/>
              </w:rPr>
            </w:pPr>
            <w:r w:rsidRPr="00BD7ADC">
              <w:rPr>
                <w:rFonts w:ascii="Cambria" w:hAnsi="Cambria"/>
                <w:b/>
                <w:bCs/>
                <w:sz w:val="20"/>
                <w:szCs w:val="20"/>
              </w:rPr>
              <w:t>Description</w:t>
            </w:r>
          </w:p>
        </w:tc>
      </w:tr>
      <w:tr w:rsidR="00F5454C" w14:paraId="1CBB9978" w14:textId="77777777" w:rsidTr="00BD7ADC">
        <w:trPr>
          <w:trHeight w:val="509"/>
          <w:jc w:val="center"/>
        </w:trPr>
        <w:tc>
          <w:tcPr>
            <w:tcW w:w="2086" w:type="dxa"/>
            <w:vMerge/>
            <w:tcBorders>
              <w:top w:val="nil"/>
              <w:bottom w:val="single" w:sz="4" w:space="0" w:color="auto"/>
            </w:tcBorders>
            <w:vAlign w:val="center"/>
            <w:hideMark/>
          </w:tcPr>
          <w:p w14:paraId="735F5518" w14:textId="77777777" w:rsidR="00BD7ADC" w:rsidRPr="00BD7ADC" w:rsidRDefault="00BD7ADC" w:rsidP="00BD7ADC">
            <w:pPr>
              <w:tabs>
                <w:tab w:val="left" w:pos="720"/>
              </w:tabs>
              <w:spacing w:before="40" w:after="40" w:line="240" w:lineRule="auto"/>
              <w:ind w:firstLine="567"/>
              <w:contextualSpacing/>
              <w:jc w:val="both"/>
              <w:rPr>
                <w:rFonts w:ascii="Cambria" w:hAnsi="Cambria"/>
                <w:b/>
                <w:bCs/>
                <w:sz w:val="20"/>
                <w:szCs w:val="20"/>
              </w:rPr>
            </w:pPr>
          </w:p>
        </w:tc>
        <w:tc>
          <w:tcPr>
            <w:tcW w:w="2614" w:type="dxa"/>
            <w:vMerge/>
            <w:tcBorders>
              <w:top w:val="nil"/>
              <w:bottom w:val="single" w:sz="4" w:space="0" w:color="auto"/>
            </w:tcBorders>
            <w:vAlign w:val="center"/>
            <w:hideMark/>
          </w:tcPr>
          <w:p w14:paraId="2B506564" w14:textId="77777777" w:rsidR="00BD7ADC" w:rsidRPr="00BD7ADC" w:rsidRDefault="00BD7ADC" w:rsidP="00BD7ADC">
            <w:pPr>
              <w:tabs>
                <w:tab w:val="left" w:pos="720"/>
              </w:tabs>
              <w:spacing w:before="40" w:after="40" w:line="240" w:lineRule="auto"/>
              <w:ind w:firstLine="567"/>
              <w:contextualSpacing/>
              <w:jc w:val="both"/>
              <w:rPr>
                <w:rFonts w:ascii="Cambria" w:hAnsi="Cambria"/>
                <w:b/>
                <w:bCs/>
                <w:sz w:val="20"/>
                <w:szCs w:val="20"/>
              </w:rPr>
            </w:pPr>
          </w:p>
        </w:tc>
        <w:tc>
          <w:tcPr>
            <w:tcW w:w="1508" w:type="dxa"/>
            <w:vMerge/>
            <w:tcBorders>
              <w:top w:val="nil"/>
              <w:bottom w:val="single" w:sz="4" w:space="0" w:color="auto"/>
            </w:tcBorders>
            <w:vAlign w:val="center"/>
            <w:hideMark/>
          </w:tcPr>
          <w:p w14:paraId="464E87EB" w14:textId="77777777" w:rsidR="00BD7ADC" w:rsidRPr="00BD7ADC" w:rsidRDefault="00BD7ADC" w:rsidP="00BD7ADC">
            <w:pPr>
              <w:tabs>
                <w:tab w:val="left" w:pos="720"/>
              </w:tabs>
              <w:spacing w:before="40" w:after="40" w:line="240" w:lineRule="auto"/>
              <w:ind w:firstLine="567"/>
              <w:contextualSpacing/>
              <w:jc w:val="both"/>
              <w:rPr>
                <w:rFonts w:ascii="Cambria" w:hAnsi="Cambria"/>
                <w:b/>
                <w:bCs/>
                <w:sz w:val="20"/>
                <w:szCs w:val="20"/>
              </w:rPr>
            </w:pPr>
          </w:p>
        </w:tc>
        <w:tc>
          <w:tcPr>
            <w:tcW w:w="1206" w:type="dxa"/>
            <w:vMerge/>
            <w:tcBorders>
              <w:top w:val="nil"/>
              <w:bottom w:val="single" w:sz="4" w:space="0" w:color="auto"/>
            </w:tcBorders>
            <w:vAlign w:val="center"/>
            <w:hideMark/>
          </w:tcPr>
          <w:p w14:paraId="4DC10D00" w14:textId="77777777" w:rsidR="00BD7ADC" w:rsidRPr="00BD7ADC" w:rsidRDefault="00BD7ADC" w:rsidP="00BD7ADC">
            <w:pPr>
              <w:tabs>
                <w:tab w:val="left" w:pos="720"/>
              </w:tabs>
              <w:spacing w:before="40" w:after="40" w:line="240" w:lineRule="auto"/>
              <w:ind w:firstLine="567"/>
              <w:contextualSpacing/>
              <w:jc w:val="both"/>
              <w:rPr>
                <w:rFonts w:ascii="Cambria" w:hAnsi="Cambria"/>
                <w:b/>
                <w:bCs/>
                <w:sz w:val="20"/>
                <w:szCs w:val="20"/>
              </w:rPr>
            </w:pPr>
          </w:p>
        </w:tc>
        <w:tc>
          <w:tcPr>
            <w:tcW w:w="1709" w:type="dxa"/>
            <w:vMerge/>
            <w:tcBorders>
              <w:top w:val="nil"/>
              <w:bottom w:val="single" w:sz="4" w:space="0" w:color="auto"/>
            </w:tcBorders>
            <w:vAlign w:val="center"/>
            <w:hideMark/>
          </w:tcPr>
          <w:p w14:paraId="021C8F8C" w14:textId="77777777" w:rsidR="00BD7ADC" w:rsidRPr="00BD7ADC" w:rsidRDefault="00BD7ADC" w:rsidP="00BD7ADC">
            <w:pPr>
              <w:tabs>
                <w:tab w:val="left" w:pos="720"/>
              </w:tabs>
              <w:spacing w:before="40" w:after="40" w:line="240" w:lineRule="auto"/>
              <w:ind w:firstLine="567"/>
              <w:contextualSpacing/>
              <w:jc w:val="both"/>
              <w:rPr>
                <w:rFonts w:ascii="Cambria" w:hAnsi="Cambria"/>
                <w:b/>
                <w:bCs/>
                <w:sz w:val="20"/>
                <w:szCs w:val="20"/>
              </w:rPr>
            </w:pPr>
          </w:p>
        </w:tc>
      </w:tr>
      <w:tr w:rsidR="00F5454C" w14:paraId="3E491FB5" w14:textId="77777777" w:rsidTr="00BD7ADC">
        <w:trPr>
          <w:trHeight w:val="254"/>
          <w:jc w:val="center"/>
        </w:trPr>
        <w:tc>
          <w:tcPr>
            <w:tcW w:w="2086" w:type="dxa"/>
            <w:tcBorders>
              <w:top w:val="single" w:sz="4" w:space="0" w:color="auto"/>
            </w:tcBorders>
            <w:noWrap/>
            <w:vAlign w:val="center"/>
            <w:hideMark/>
          </w:tcPr>
          <w:p w14:paraId="63FB5F7E"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C-Organic</w:t>
            </w:r>
          </w:p>
        </w:tc>
        <w:tc>
          <w:tcPr>
            <w:tcW w:w="2614" w:type="dxa"/>
            <w:tcBorders>
              <w:top w:val="single" w:sz="4" w:space="0" w:color="auto"/>
            </w:tcBorders>
            <w:noWrap/>
            <w:vAlign w:val="center"/>
            <w:hideMark/>
          </w:tcPr>
          <w:p w14:paraId="3D8B5FE2"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Spectrophotometry</w:t>
            </w:r>
          </w:p>
        </w:tc>
        <w:tc>
          <w:tcPr>
            <w:tcW w:w="1508" w:type="dxa"/>
            <w:tcBorders>
              <w:top w:val="single" w:sz="4" w:space="0" w:color="auto"/>
            </w:tcBorders>
            <w:noWrap/>
            <w:vAlign w:val="center"/>
            <w:hideMark/>
          </w:tcPr>
          <w:p w14:paraId="26EA254A"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w:t>
            </w:r>
          </w:p>
        </w:tc>
        <w:tc>
          <w:tcPr>
            <w:tcW w:w="1206" w:type="dxa"/>
            <w:tcBorders>
              <w:top w:val="single" w:sz="4" w:space="0" w:color="auto"/>
            </w:tcBorders>
            <w:noWrap/>
            <w:vAlign w:val="center"/>
            <w:hideMark/>
          </w:tcPr>
          <w:p w14:paraId="7FA54698"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4,88</w:t>
            </w:r>
          </w:p>
        </w:tc>
        <w:tc>
          <w:tcPr>
            <w:tcW w:w="1709" w:type="dxa"/>
            <w:tcBorders>
              <w:top w:val="single" w:sz="4" w:space="0" w:color="auto"/>
            </w:tcBorders>
            <w:noWrap/>
            <w:vAlign w:val="center"/>
            <w:hideMark/>
          </w:tcPr>
          <w:p w14:paraId="029236B3"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h</w:t>
            </w:r>
          </w:p>
        </w:tc>
      </w:tr>
      <w:tr w:rsidR="00F5454C" w14:paraId="0D9E0F22" w14:textId="77777777" w:rsidTr="00BD7ADC">
        <w:trPr>
          <w:trHeight w:val="254"/>
          <w:jc w:val="center"/>
        </w:trPr>
        <w:tc>
          <w:tcPr>
            <w:tcW w:w="2086" w:type="dxa"/>
            <w:noWrap/>
            <w:vAlign w:val="center"/>
            <w:hideMark/>
          </w:tcPr>
          <w:p w14:paraId="165242D1"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N-Total</w:t>
            </w:r>
          </w:p>
        </w:tc>
        <w:tc>
          <w:tcPr>
            <w:tcW w:w="2614" w:type="dxa"/>
            <w:noWrap/>
            <w:vAlign w:val="center"/>
            <w:hideMark/>
          </w:tcPr>
          <w:p w14:paraId="6CDA1128"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Kjedhal</w:t>
            </w:r>
          </w:p>
        </w:tc>
        <w:tc>
          <w:tcPr>
            <w:tcW w:w="1508" w:type="dxa"/>
            <w:noWrap/>
            <w:vAlign w:val="center"/>
            <w:hideMark/>
          </w:tcPr>
          <w:p w14:paraId="04D12572"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w:t>
            </w:r>
          </w:p>
        </w:tc>
        <w:tc>
          <w:tcPr>
            <w:tcW w:w="1206" w:type="dxa"/>
            <w:noWrap/>
            <w:vAlign w:val="center"/>
            <w:hideMark/>
          </w:tcPr>
          <w:p w14:paraId="669627E8"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0,30</w:t>
            </w:r>
          </w:p>
        </w:tc>
        <w:tc>
          <w:tcPr>
            <w:tcW w:w="1709" w:type="dxa"/>
            <w:noWrap/>
            <w:vAlign w:val="center"/>
            <w:hideMark/>
          </w:tcPr>
          <w:p w14:paraId="2985D08A"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l</w:t>
            </w:r>
          </w:p>
        </w:tc>
      </w:tr>
      <w:tr w:rsidR="00F5454C" w14:paraId="188A1D57" w14:textId="77777777" w:rsidTr="00BD7ADC">
        <w:trPr>
          <w:trHeight w:val="509"/>
          <w:jc w:val="center"/>
        </w:trPr>
        <w:tc>
          <w:tcPr>
            <w:tcW w:w="2086" w:type="dxa"/>
            <w:vMerge w:val="restart"/>
            <w:vAlign w:val="center"/>
            <w:hideMark/>
          </w:tcPr>
          <w:p w14:paraId="03B74C65" w14:textId="77777777" w:rsidR="00BD7ADC" w:rsidRPr="00BD7ADC" w:rsidRDefault="00000000" w:rsidP="00BD7ADC">
            <w:pPr>
              <w:tabs>
                <w:tab w:val="left" w:pos="720"/>
              </w:tabs>
              <w:spacing w:before="40" w:after="40" w:line="240" w:lineRule="auto"/>
              <w:contextualSpacing/>
              <w:jc w:val="both"/>
              <w:rPr>
                <w:rFonts w:ascii="Cambria" w:hAnsi="Cambria"/>
                <w:sz w:val="20"/>
                <w:szCs w:val="20"/>
                <w:lang w:val="pt-BR"/>
              </w:rPr>
            </w:pPr>
            <w:r w:rsidRPr="00BD7ADC">
              <w:rPr>
                <w:rFonts w:ascii="Cambria" w:hAnsi="Cambria"/>
                <w:sz w:val="20"/>
                <w:szCs w:val="20"/>
                <w:lang w:val="pt-BR"/>
              </w:rPr>
              <w:t>P</w:t>
            </w:r>
            <w:r w:rsidRPr="00BD7ADC">
              <w:rPr>
                <w:rFonts w:ascii="Cambria" w:hAnsi="Cambria"/>
                <w:sz w:val="20"/>
                <w:szCs w:val="20"/>
                <w:vertAlign w:val="subscript"/>
                <w:lang w:val="pt-BR"/>
              </w:rPr>
              <w:t>2</w:t>
            </w:r>
            <w:r w:rsidRPr="00BD7ADC">
              <w:rPr>
                <w:rFonts w:ascii="Cambria" w:hAnsi="Cambria"/>
                <w:sz w:val="20"/>
                <w:szCs w:val="20"/>
                <w:lang w:val="pt-BR"/>
              </w:rPr>
              <w:t>O</w:t>
            </w:r>
            <w:r w:rsidRPr="00BD7ADC">
              <w:rPr>
                <w:rFonts w:ascii="Cambria" w:hAnsi="Cambria"/>
                <w:sz w:val="20"/>
                <w:szCs w:val="20"/>
                <w:vertAlign w:val="subscript"/>
                <w:lang w:val="pt-BR"/>
              </w:rPr>
              <w:t>5</w:t>
            </w:r>
            <w:r w:rsidRPr="00BD7ADC">
              <w:rPr>
                <w:rFonts w:ascii="Cambria" w:hAnsi="Cambria"/>
                <w:sz w:val="20"/>
                <w:szCs w:val="20"/>
                <w:lang w:val="pt-BR"/>
              </w:rPr>
              <w:t>-avl (P-Bray-I)</w:t>
            </w:r>
          </w:p>
        </w:tc>
        <w:tc>
          <w:tcPr>
            <w:tcW w:w="2614" w:type="dxa"/>
            <w:vMerge w:val="restart"/>
            <w:vAlign w:val="center"/>
            <w:hideMark/>
          </w:tcPr>
          <w:p w14:paraId="29FA6548"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Spectrofotometry</w:t>
            </w:r>
          </w:p>
        </w:tc>
        <w:tc>
          <w:tcPr>
            <w:tcW w:w="1508" w:type="dxa"/>
            <w:vMerge w:val="restart"/>
            <w:vAlign w:val="center"/>
            <w:hideMark/>
          </w:tcPr>
          <w:p w14:paraId="060C438A"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ppm P</w:t>
            </w:r>
          </w:p>
        </w:tc>
        <w:tc>
          <w:tcPr>
            <w:tcW w:w="1206" w:type="dxa"/>
            <w:vMerge w:val="restart"/>
            <w:noWrap/>
            <w:vAlign w:val="center"/>
            <w:hideMark/>
          </w:tcPr>
          <w:p w14:paraId="1F87CA72"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1,88</w:t>
            </w:r>
          </w:p>
        </w:tc>
        <w:tc>
          <w:tcPr>
            <w:tcW w:w="1709" w:type="dxa"/>
            <w:vMerge w:val="restart"/>
            <w:noWrap/>
            <w:vAlign w:val="center"/>
            <w:hideMark/>
          </w:tcPr>
          <w:p w14:paraId="376E2B91"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vl</w:t>
            </w:r>
          </w:p>
        </w:tc>
      </w:tr>
      <w:tr w:rsidR="00F5454C" w14:paraId="7EC3226A" w14:textId="77777777" w:rsidTr="00BD7ADC">
        <w:trPr>
          <w:trHeight w:val="269"/>
          <w:jc w:val="center"/>
        </w:trPr>
        <w:tc>
          <w:tcPr>
            <w:tcW w:w="2086" w:type="dxa"/>
            <w:vMerge/>
            <w:vAlign w:val="center"/>
            <w:hideMark/>
          </w:tcPr>
          <w:p w14:paraId="059446E9"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2614" w:type="dxa"/>
            <w:vMerge/>
            <w:vAlign w:val="center"/>
            <w:hideMark/>
          </w:tcPr>
          <w:p w14:paraId="247103E1"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508" w:type="dxa"/>
            <w:vMerge/>
            <w:vAlign w:val="center"/>
            <w:hideMark/>
          </w:tcPr>
          <w:p w14:paraId="1EAEA129"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206" w:type="dxa"/>
            <w:vMerge/>
            <w:vAlign w:val="center"/>
            <w:hideMark/>
          </w:tcPr>
          <w:p w14:paraId="2C69743E"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709" w:type="dxa"/>
            <w:vMerge/>
            <w:vAlign w:val="center"/>
            <w:hideMark/>
          </w:tcPr>
          <w:p w14:paraId="649D39E6"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r>
      <w:tr w:rsidR="00F5454C" w14:paraId="20DD51C0" w14:textId="77777777" w:rsidTr="00BD7ADC">
        <w:trPr>
          <w:trHeight w:val="509"/>
          <w:jc w:val="center"/>
        </w:trPr>
        <w:tc>
          <w:tcPr>
            <w:tcW w:w="2086" w:type="dxa"/>
            <w:vMerge w:val="restart"/>
            <w:vAlign w:val="center"/>
            <w:hideMark/>
          </w:tcPr>
          <w:p w14:paraId="1F0C31FF" w14:textId="77777777" w:rsidR="00BD7ADC" w:rsidRPr="00BD7ADC" w:rsidRDefault="00000000" w:rsidP="00BD7ADC">
            <w:pPr>
              <w:tabs>
                <w:tab w:val="left" w:pos="720"/>
              </w:tabs>
              <w:spacing w:before="40" w:after="40" w:line="240" w:lineRule="auto"/>
              <w:contextualSpacing/>
              <w:rPr>
                <w:rFonts w:ascii="Cambria" w:hAnsi="Cambria"/>
                <w:sz w:val="20"/>
                <w:szCs w:val="20"/>
              </w:rPr>
            </w:pPr>
            <w:r w:rsidRPr="00BD7ADC">
              <w:rPr>
                <w:rFonts w:ascii="Cambria" w:hAnsi="Cambria"/>
                <w:sz w:val="20"/>
                <w:szCs w:val="20"/>
              </w:rPr>
              <w:t>K</w:t>
            </w:r>
            <w:r w:rsidRPr="00BD7ADC">
              <w:rPr>
                <w:rFonts w:ascii="Cambria" w:hAnsi="Cambria"/>
                <w:sz w:val="20"/>
                <w:szCs w:val="20"/>
                <w:vertAlign w:val="subscript"/>
              </w:rPr>
              <w:t>2</w:t>
            </w:r>
            <w:r w:rsidRPr="00BD7ADC">
              <w:rPr>
                <w:rFonts w:ascii="Cambria" w:hAnsi="Cambria"/>
                <w:sz w:val="20"/>
                <w:szCs w:val="20"/>
              </w:rPr>
              <w:t>O</w:t>
            </w:r>
            <w:r w:rsidRPr="00354ED9">
              <w:rPr>
                <w:rFonts w:ascii="Cambria" w:hAnsi="Cambria"/>
                <w:sz w:val="20"/>
                <w:szCs w:val="20"/>
              </w:rPr>
              <w:t xml:space="preserve"> </w:t>
            </w:r>
            <w:r w:rsidRPr="00BD7ADC">
              <w:rPr>
                <w:rFonts w:ascii="Cambria" w:hAnsi="Cambria"/>
                <w:sz w:val="20"/>
                <w:szCs w:val="20"/>
              </w:rPr>
              <w:t>Potential Ex. HCl 25%</w:t>
            </w:r>
          </w:p>
        </w:tc>
        <w:tc>
          <w:tcPr>
            <w:tcW w:w="2614" w:type="dxa"/>
            <w:vMerge w:val="restart"/>
            <w:vAlign w:val="center"/>
            <w:hideMark/>
          </w:tcPr>
          <w:p w14:paraId="31E6D649"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AAS/Asam Acetat 1 N</w:t>
            </w:r>
          </w:p>
        </w:tc>
        <w:tc>
          <w:tcPr>
            <w:tcW w:w="1508" w:type="dxa"/>
            <w:vMerge w:val="restart"/>
            <w:vAlign w:val="center"/>
            <w:hideMark/>
          </w:tcPr>
          <w:p w14:paraId="7FB76F67" w14:textId="77777777" w:rsidR="00BD7ADC" w:rsidRPr="00BD7ADC" w:rsidRDefault="00000000" w:rsidP="002617FB">
            <w:pPr>
              <w:tabs>
                <w:tab w:val="left" w:pos="720"/>
              </w:tabs>
              <w:spacing w:before="40" w:after="40" w:line="240" w:lineRule="auto"/>
              <w:contextualSpacing/>
              <w:jc w:val="both"/>
              <w:rPr>
                <w:rFonts w:ascii="Cambria" w:hAnsi="Cambria"/>
                <w:sz w:val="20"/>
                <w:szCs w:val="20"/>
              </w:rPr>
            </w:pPr>
            <w:r w:rsidRPr="00354ED9">
              <w:rPr>
                <w:rFonts w:ascii="Cambria" w:hAnsi="Cambria"/>
                <w:sz w:val="20"/>
                <w:szCs w:val="20"/>
              </w:rPr>
              <w:t xml:space="preserve">       </w:t>
            </w:r>
            <w:r w:rsidRPr="00BD7ADC">
              <w:rPr>
                <w:rFonts w:ascii="Cambria" w:hAnsi="Cambria"/>
                <w:sz w:val="20"/>
                <w:szCs w:val="20"/>
              </w:rPr>
              <w:t>me.100 g</w:t>
            </w:r>
            <w:r w:rsidRPr="00BD7ADC">
              <w:rPr>
                <w:rFonts w:ascii="Cambria" w:hAnsi="Cambria"/>
                <w:sz w:val="20"/>
                <w:szCs w:val="20"/>
                <w:vertAlign w:val="superscript"/>
              </w:rPr>
              <w:t>-1</w:t>
            </w:r>
          </w:p>
        </w:tc>
        <w:tc>
          <w:tcPr>
            <w:tcW w:w="1206" w:type="dxa"/>
            <w:vMerge w:val="restart"/>
            <w:noWrap/>
            <w:vAlign w:val="center"/>
            <w:hideMark/>
          </w:tcPr>
          <w:p w14:paraId="3B39CE29"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0,11</w:t>
            </w:r>
          </w:p>
        </w:tc>
        <w:tc>
          <w:tcPr>
            <w:tcW w:w="1709" w:type="dxa"/>
            <w:vMerge w:val="restart"/>
            <w:noWrap/>
            <w:vAlign w:val="center"/>
            <w:hideMark/>
          </w:tcPr>
          <w:p w14:paraId="33A6CB98"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VL</w:t>
            </w:r>
          </w:p>
        </w:tc>
      </w:tr>
      <w:tr w:rsidR="00F5454C" w14:paraId="46CD3C36" w14:textId="77777777" w:rsidTr="00BD7ADC">
        <w:trPr>
          <w:trHeight w:val="509"/>
          <w:jc w:val="center"/>
        </w:trPr>
        <w:tc>
          <w:tcPr>
            <w:tcW w:w="2086" w:type="dxa"/>
            <w:vMerge/>
            <w:vAlign w:val="center"/>
            <w:hideMark/>
          </w:tcPr>
          <w:p w14:paraId="6595E9D2"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2614" w:type="dxa"/>
            <w:vMerge/>
            <w:vAlign w:val="center"/>
            <w:hideMark/>
          </w:tcPr>
          <w:p w14:paraId="43380A89"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508" w:type="dxa"/>
            <w:vMerge/>
            <w:vAlign w:val="center"/>
            <w:hideMark/>
          </w:tcPr>
          <w:p w14:paraId="57F8FD2A"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206" w:type="dxa"/>
            <w:vMerge/>
            <w:vAlign w:val="center"/>
            <w:hideMark/>
          </w:tcPr>
          <w:p w14:paraId="06151478"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709" w:type="dxa"/>
            <w:vMerge/>
            <w:vAlign w:val="center"/>
            <w:hideMark/>
          </w:tcPr>
          <w:p w14:paraId="71BEFBC2"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r>
      <w:tr w:rsidR="00F5454C" w14:paraId="08C9F6AC" w14:textId="77777777" w:rsidTr="00BD7ADC">
        <w:trPr>
          <w:trHeight w:val="254"/>
          <w:jc w:val="center"/>
        </w:trPr>
        <w:tc>
          <w:tcPr>
            <w:tcW w:w="2086" w:type="dxa"/>
            <w:vAlign w:val="center"/>
          </w:tcPr>
          <w:p w14:paraId="4A8BAB79" w14:textId="77777777" w:rsidR="00BD7ADC" w:rsidRPr="00BD7ADC" w:rsidRDefault="00000000" w:rsidP="00BD7ADC">
            <w:pPr>
              <w:tabs>
                <w:tab w:val="left" w:pos="720"/>
              </w:tabs>
              <w:spacing w:before="40" w:after="40" w:line="240" w:lineRule="auto"/>
              <w:contextualSpacing/>
              <w:jc w:val="both"/>
              <w:rPr>
                <w:rFonts w:ascii="Cambria" w:hAnsi="Cambria"/>
                <w:sz w:val="20"/>
                <w:szCs w:val="20"/>
              </w:rPr>
            </w:pPr>
            <w:r w:rsidRPr="00BD7ADC">
              <w:rPr>
                <w:rFonts w:ascii="Cambria" w:hAnsi="Cambria"/>
                <w:sz w:val="20"/>
                <w:szCs w:val="20"/>
              </w:rPr>
              <w:t>MnO Ex. HCl 25%</w:t>
            </w:r>
          </w:p>
        </w:tc>
        <w:tc>
          <w:tcPr>
            <w:tcW w:w="2614" w:type="dxa"/>
            <w:vAlign w:val="center"/>
          </w:tcPr>
          <w:p w14:paraId="6B3E2236"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Spectrofotometry</w:t>
            </w:r>
          </w:p>
        </w:tc>
        <w:tc>
          <w:tcPr>
            <w:tcW w:w="1508" w:type="dxa"/>
            <w:vAlign w:val="center"/>
          </w:tcPr>
          <w:p w14:paraId="49B368FA"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w:t>
            </w:r>
          </w:p>
        </w:tc>
        <w:tc>
          <w:tcPr>
            <w:tcW w:w="1206" w:type="dxa"/>
            <w:vAlign w:val="center"/>
          </w:tcPr>
          <w:p w14:paraId="02CF264D"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0,27</w:t>
            </w:r>
          </w:p>
        </w:tc>
        <w:tc>
          <w:tcPr>
            <w:tcW w:w="1709" w:type="dxa"/>
            <w:vAlign w:val="center"/>
          </w:tcPr>
          <w:p w14:paraId="5FFD0587"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h</w:t>
            </w:r>
          </w:p>
        </w:tc>
      </w:tr>
      <w:tr w:rsidR="00F5454C" w14:paraId="1D8C39EF" w14:textId="77777777" w:rsidTr="00BD7ADC">
        <w:trPr>
          <w:trHeight w:val="509"/>
          <w:jc w:val="center"/>
        </w:trPr>
        <w:tc>
          <w:tcPr>
            <w:tcW w:w="2086" w:type="dxa"/>
            <w:vMerge w:val="restart"/>
            <w:vAlign w:val="center"/>
            <w:hideMark/>
          </w:tcPr>
          <w:p w14:paraId="4708DACF"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CEC</w:t>
            </w:r>
          </w:p>
        </w:tc>
        <w:tc>
          <w:tcPr>
            <w:tcW w:w="2614" w:type="dxa"/>
            <w:vMerge w:val="restart"/>
            <w:vAlign w:val="center"/>
            <w:hideMark/>
          </w:tcPr>
          <w:p w14:paraId="39BF0520" w14:textId="77777777" w:rsidR="00BD7ADC" w:rsidRPr="00BD7ADC" w:rsidRDefault="00000000" w:rsidP="002617FB">
            <w:pPr>
              <w:tabs>
                <w:tab w:val="left" w:pos="720"/>
              </w:tabs>
              <w:spacing w:before="40" w:after="40" w:line="240" w:lineRule="auto"/>
              <w:contextualSpacing/>
              <w:jc w:val="both"/>
              <w:rPr>
                <w:rFonts w:ascii="Cambria" w:hAnsi="Cambria"/>
                <w:sz w:val="20"/>
                <w:szCs w:val="20"/>
              </w:rPr>
            </w:pPr>
            <w:r w:rsidRPr="00354ED9">
              <w:rPr>
                <w:rFonts w:ascii="Cambria" w:hAnsi="Cambria"/>
                <w:sz w:val="20"/>
                <w:szCs w:val="20"/>
              </w:rPr>
              <w:t xml:space="preserve">            </w:t>
            </w:r>
            <w:r w:rsidRPr="00BD7ADC">
              <w:rPr>
                <w:rFonts w:ascii="Cambria" w:hAnsi="Cambria"/>
                <w:sz w:val="20"/>
                <w:szCs w:val="20"/>
              </w:rPr>
              <w:t>Volumetry/NaCl 10%</w:t>
            </w:r>
          </w:p>
        </w:tc>
        <w:tc>
          <w:tcPr>
            <w:tcW w:w="1508" w:type="dxa"/>
            <w:vMerge w:val="restart"/>
            <w:vAlign w:val="center"/>
            <w:hideMark/>
          </w:tcPr>
          <w:p w14:paraId="703472DD" w14:textId="77777777" w:rsidR="00BD7ADC" w:rsidRPr="00BD7ADC" w:rsidRDefault="00000000" w:rsidP="002617FB">
            <w:pPr>
              <w:tabs>
                <w:tab w:val="left" w:pos="720"/>
              </w:tabs>
              <w:spacing w:before="40" w:after="40" w:line="240" w:lineRule="auto"/>
              <w:contextualSpacing/>
              <w:jc w:val="both"/>
              <w:rPr>
                <w:rFonts w:ascii="Cambria" w:hAnsi="Cambria"/>
                <w:sz w:val="20"/>
                <w:szCs w:val="20"/>
              </w:rPr>
            </w:pPr>
            <w:r w:rsidRPr="00354ED9">
              <w:rPr>
                <w:rFonts w:ascii="Cambria" w:hAnsi="Cambria"/>
                <w:sz w:val="20"/>
                <w:szCs w:val="20"/>
              </w:rPr>
              <w:t xml:space="preserve">         </w:t>
            </w:r>
            <w:r w:rsidRPr="00BD7ADC">
              <w:rPr>
                <w:rFonts w:ascii="Cambria" w:hAnsi="Cambria"/>
                <w:sz w:val="20"/>
                <w:szCs w:val="20"/>
              </w:rPr>
              <w:t>me.100 g</w:t>
            </w:r>
            <w:r w:rsidRPr="00BD7ADC">
              <w:rPr>
                <w:rFonts w:ascii="Cambria" w:hAnsi="Cambria"/>
                <w:sz w:val="20"/>
                <w:szCs w:val="20"/>
                <w:vertAlign w:val="superscript"/>
              </w:rPr>
              <w:t>-1</w:t>
            </w:r>
          </w:p>
        </w:tc>
        <w:tc>
          <w:tcPr>
            <w:tcW w:w="1206" w:type="dxa"/>
            <w:vMerge w:val="restart"/>
            <w:noWrap/>
            <w:vAlign w:val="center"/>
            <w:hideMark/>
          </w:tcPr>
          <w:p w14:paraId="27278B1D"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41,22</w:t>
            </w:r>
          </w:p>
        </w:tc>
        <w:tc>
          <w:tcPr>
            <w:tcW w:w="1709" w:type="dxa"/>
            <w:vMerge w:val="restart"/>
            <w:noWrap/>
            <w:vAlign w:val="center"/>
            <w:hideMark/>
          </w:tcPr>
          <w:p w14:paraId="331090B5"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h</w:t>
            </w:r>
          </w:p>
        </w:tc>
      </w:tr>
      <w:tr w:rsidR="00F5454C" w14:paraId="589F41B3" w14:textId="77777777" w:rsidTr="003F4567">
        <w:trPr>
          <w:trHeight w:val="269"/>
          <w:jc w:val="center"/>
        </w:trPr>
        <w:tc>
          <w:tcPr>
            <w:tcW w:w="2086" w:type="dxa"/>
            <w:vMerge/>
            <w:vAlign w:val="center"/>
            <w:hideMark/>
          </w:tcPr>
          <w:p w14:paraId="279758EC"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2614" w:type="dxa"/>
            <w:vMerge/>
            <w:vAlign w:val="center"/>
            <w:hideMark/>
          </w:tcPr>
          <w:p w14:paraId="743B1A11"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508" w:type="dxa"/>
            <w:vMerge/>
            <w:vAlign w:val="center"/>
            <w:hideMark/>
          </w:tcPr>
          <w:p w14:paraId="1A63F131"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206" w:type="dxa"/>
            <w:vMerge/>
            <w:vAlign w:val="center"/>
            <w:hideMark/>
          </w:tcPr>
          <w:p w14:paraId="0728B7C0"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709" w:type="dxa"/>
            <w:vMerge/>
            <w:vAlign w:val="center"/>
            <w:hideMark/>
          </w:tcPr>
          <w:p w14:paraId="401DF726"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r>
      <w:tr w:rsidR="00F5454C" w14:paraId="705522D1" w14:textId="77777777" w:rsidTr="00BD7ADC">
        <w:trPr>
          <w:trHeight w:val="509"/>
          <w:jc w:val="center"/>
        </w:trPr>
        <w:tc>
          <w:tcPr>
            <w:tcW w:w="2086" w:type="dxa"/>
            <w:vMerge w:val="restart"/>
            <w:tcBorders>
              <w:bottom w:val="single" w:sz="4" w:space="0" w:color="auto"/>
            </w:tcBorders>
            <w:vAlign w:val="center"/>
            <w:hideMark/>
          </w:tcPr>
          <w:p w14:paraId="70A84225"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pH H</w:t>
            </w:r>
            <w:r w:rsidRPr="00BD7ADC">
              <w:rPr>
                <w:rFonts w:ascii="Cambria" w:hAnsi="Cambria"/>
                <w:sz w:val="20"/>
                <w:szCs w:val="20"/>
                <w:vertAlign w:val="subscript"/>
              </w:rPr>
              <w:t>2</w:t>
            </w:r>
            <w:r w:rsidRPr="00BD7ADC">
              <w:rPr>
                <w:rFonts w:ascii="Cambria" w:hAnsi="Cambria"/>
                <w:sz w:val="20"/>
                <w:szCs w:val="20"/>
              </w:rPr>
              <w:t>O</w:t>
            </w:r>
          </w:p>
        </w:tc>
        <w:tc>
          <w:tcPr>
            <w:tcW w:w="2614" w:type="dxa"/>
            <w:vMerge w:val="restart"/>
            <w:tcBorders>
              <w:bottom w:val="single" w:sz="4" w:space="0" w:color="auto"/>
            </w:tcBorders>
            <w:vAlign w:val="center"/>
            <w:hideMark/>
          </w:tcPr>
          <w:p w14:paraId="01FE88A5"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Electrometry</w:t>
            </w:r>
          </w:p>
        </w:tc>
        <w:tc>
          <w:tcPr>
            <w:tcW w:w="1508" w:type="dxa"/>
            <w:vMerge w:val="restart"/>
            <w:tcBorders>
              <w:bottom w:val="single" w:sz="4" w:space="0" w:color="auto"/>
            </w:tcBorders>
            <w:vAlign w:val="center"/>
            <w:hideMark/>
          </w:tcPr>
          <w:p w14:paraId="1CCCD785"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w:t>
            </w:r>
          </w:p>
        </w:tc>
        <w:tc>
          <w:tcPr>
            <w:tcW w:w="1206" w:type="dxa"/>
            <w:vMerge w:val="restart"/>
            <w:tcBorders>
              <w:bottom w:val="single" w:sz="4" w:space="0" w:color="auto"/>
            </w:tcBorders>
            <w:noWrap/>
            <w:vAlign w:val="center"/>
            <w:hideMark/>
          </w:tcPr>
          <w:p w14:paraId="7974B7EC"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6,8</w:t>
            </w:r>
          </w:p>
        </w:tc>
        <w:tc>
          <w:tcPr>
            <w:tcW w:w="1709" w:type="dxa"/>
            <w:vMerge w:val="restart"/>
            <w:tcBorders>
              <w:bottom w:val="single" w:sz="4" w:space="0" w:color="auto"/>
            </w:tcBorders>
            <w:noWrap/>
            <w:vAlign w:val="center"/>
            <w:hideMark/>
          </w:tcPr>
          <w:p w14:paraId="0DC0C8D5"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 xml:space="preserve">m </w:t>
            </w:r>
          </w:p>
          <w:p w14:paraId="37E53CAA"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(Neutral)</w:t>
            </w:r>
          </w:p>
        </w:tc>
      </w:tr>
      <w:tr w:rsidR="00F5454C" w14:paraId="57698C32" w14:textId="77777777" w:rsidTr="003F4567">
        <w:trPr>
          <w:trHeight w:val="269"/>
          <w:jc w:val="center"/>
        </w:trPr>
        <w:tc>
          <w:tcPr>
            <w:tcW w:w="2086" w:type="dxa"/>
            <w:vMerge/>
            <w:tcBorders>
              <w:top w:val="single" w:sz="4" w:space="0" w:color="auto"/>
              <w:bottom w:val="single" w:sz="4" w:space="0" w:color="auto"/>
            </w:tcBorders>
            <w:vAlign w:val="center"/>
            <w:hideMark/>
          </w:tcPr>
          <w:p w14:paraId="0D259CB2"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2614" w:type="dxa"/>
            <w:vMerge/>
            <w:tcBorders>
              <w:top w:val="single" w:sz="4" w:space="0" w:color="auto"/>
              <w:bottom w:val="single" w:sz="4" w:space="0" w:color="auto"/>
            </w:tcBorders>
            <w:vAlign w:val="center"/>
            <w:hideMark/>
          </w:tcPr>
          <w:p w14:paraId="76F91A60"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508" w:type="dxa"/>
            <w:vMerge/>
            <w:tcBorders>
              <w:top w:val="single" w:sz="4" w:space="0" w:color="auto"/>
              <w:bottom w:val="single" w:sz="4" w:space="0" w:color="auto"/>
            </w:tcBorders>
            <w:vAlign w:val="center"/>
            <w:hideMark/>
          </w:tcPr>
          <w:p w14:paraId="4D75BA2D"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206" w:type="dxa"/>
            <w:vMerge/>
            <w:tcBorders>
              <w:top w:val="single" w:sz="4" w:space="0" w:color="auto"/>
              <w:bottom w:val="single" w:sz="4" w:space="0" w:color="auto"/>
            </w:tcBorders>
            <w:vAlign w:val="center"/>
            <w:hideMark/>
          </w:tcPr>
          <w:p w14:paraId="3874405E"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709" w:type="dxa"/>
            <w:vMerge/>
            <w:tcBorders>
              <w:top w:val="single" w:sz="4" w:space="0" w:color="auto"/>
              <w:bottom w:val="single" w:sz="4" w:space="0" w:color="auto"/>
            </w:tcBorders>
            <w:vAlign w:val="center"/>
            <w:hideMark/>
          </w:tcPr>
          <w:p w14:paraId="5ED61ED4"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r>
      <w:tr w:rsidR="00F5454C" w14:paraId="75586B8B" w14:textId="77777777" w:rsidTr="00BD7ADC">
        <w:trPr>
          <w:trHeight w:val="254"/>
          <w:jc w:val="center"/>
        </w:trPr>
        <w:tc>
          <w:tcPr>
            <w:tcW w:w="2086" w:type="dxa"/>
            <w:tcBorders>
              <w:top w:val="single" w:sz="4" w:space="0" w:color="auto"/>
            </w:tcBorders>
            <w:vAlign w:val="center"/>
            <w:hideMark/>
          </w:tcPr>
          <w:p w14:paraId="07344A8F"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Al Saturation</w:t>
            </w:r>
          </w:p>
        </w:tc>
        <w:tc>
          <w:tcPr>
            <w:tcW w:w="2614" w:type="dxa"/>
            <w:vMerge w:val="restart"/>
            <w:tcBorders>
              <w:top w:val="single" w:sz="4" w:space="0" w:color="auto"/>
            </w:tcBorders>
            <w:noWrap/>
            <w:vAlign w:val="center"/>
            <w:hideMark/>
          </w:tcPr>
          <w:p w14:paraId="7C1D151B"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Titrimetry</w:t>
            </w:r>
          </w:p>
        </w:tc>
        <w:tc>
          <w:tcPr>
            <w:tcW w:w="1508" w:type="dxa"/>
            <w:tcBorders>
              <w:top w:val="single" w:sz="4" w:space="0" w:color="auto"/>
            </w:tcBorders>
            <w:vAlign w:val="center"/>
            <w:hideMark/>
          </w:tcPr>
          <w:p w14:paraId="02BF9FC1"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w:t>
            </w:r>
          </w:p>
        </w:tc>
        <w:tc>
          <w:tcPr>
            <w:tcW w:w="1206" w:type="dxa"/>
            <w:tcBorders>
              <w:top w:val="single" w:sz="4" w:space="0" w:color="auto"/>
            </w:tcBorders>
            <w:noWrap/>
            <w:vAlign w:val="center"/>
            <w:hideMark/>
          </w:tcPr>
          <w:p w14:paraId="0C6054CE"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0,0</w:t>
            </w:r>
          </w:p>
        </w:tc>
        <w:tc>
          <w:tcPr>
            <w:tcW w:w="1709" w:type="dxa"/>
            <w:tcBorders>
              <w:top w:val="single" w:sz="4" w:space="0" w:color="auto"/>
            </w:tcBorders>
            <w:noWrap/>
            <w:vAlign w:val="center"/>
            <w:hideMark/>
          </w:tcPr>
          <w:p w14:paraId="66A22453"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nm</w:t>
            </w:r>
          </w:p>
        </w:tc>
      </w:tr>
      <w:tr w:rsidR="00F5454C" w14:paraId="6C8C5844" w14:textId="77777777" w:rsidTr="00BD7ADC">
        <w:trPr>
          <w:trHeight w:val="452"/>
          <w:jc w:val="center"/>
        </w:trPr>
        <w:tc>
          <w:tcPr>
            <w:tcW w:w="2086" w:type="dxa"/>
            <w:tcBorders>
              <w:bottom w:val="single" w:sz="4" w:space="0" w:color="auto"/>
            </w:tcBorders>
            <w:noWrap/>
            <w:vAlign w:val="center"/>
            <w:hideMark/>
          </w:tcPr>
          <w:p w14:paraId="5C229786"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Al-dd</w:t>
            </w:r>
          </w:p>
        </w:tc>
        <w:tc>
          <w:tcPr>
            <w:tcW w:w="2614" w:type="dxa"/>
            <w:vMerge/>
            <w:tcBorders>
              <w:bottom w:val="single" w:sz="4" w:space="0" w:color="auto"/>
            </w:tcBorders>
            <w:vAlign w:val="center"/>
            <w:hideMark/>
          </w:tcPr>
          <w:p w14:paraId="361BDC67"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508" w:type="dxa"/>
            <w:tcBorders>
              <w:bottom w:val="single" w:sz="4" w:space="0" w:color="auto"/>
            </w:tcBorders>
            <w:vAlign w:val="center"/>
            <w:hideMark/>
          </w:tcPr>
          <w:p w14:paraId="65E32465" w14:textId="77777777" w:rsidR="00BD7ADC" w:rsidRPr="00BD7ADC" w:rsidRDefault="00000000" w:rsidP="003F4567">
            <w:pPr>
              <w:tabs>
                <w:tab w:val="left" w:pos="720"/>
              </w:tabs>
              <w:spacing w:before="40" w:after="40" w:line="240" w:lineRule="auto"/>
              <w:contextualSpacing/>
              <w:jc w:val="both"/>
              <w:rPr>
                <w:rFonts w:ascii="Cambria" w:hAnsi="Cambria"/>
                <w:sz w:val="20"/>
                <w:szCs w:val="20"/>
              </w:rPr>
            </w:pPr>
            <w:r w:rsidRPr="00354ED9">
              <w:rPr>
                <w:rFonts w:ascii="Cambria" w:hAnsi="Cambria"/>
                <w:sz w:val="20"/>
                <w:szCs w:val="20"/>
              </w:rPr>
              <w:t xml:space="preserve">         </w:t>
            </w:r>
            <w:r w:rsidRPr="00BD7ADC">
              <w:rPr>
                <w:rFonts w:ascii="Cambria" w:hAnsi="Cambria"/>
                <w:sz w:val="20"/>
                <w:szCs w:val="20"/>
              </w:rPr>
              <w:t>me.100 g</w:t>
            </w:r>
            <w:r w:rsidRPr="00BD7ADC">
              <w:rPr>
                <w:rFonts w:ascii="Cambria" w:hAnsi="Cambria"/>
                <w:sz w:val="20"/>
                <w:szCs w:val="20"/>
                <w:vertAlign w:val="superscript"/>
              </w:rPr>
              <w:t>-1</w:t>
            </w:r>
          </w:p>
        </w:tc>
        <w:tc>
          <w:tcPr>
            <w:tcW w:w="1206" w:type="dxa"/>
            <w:tcBorders>
              <w:bottom w:val="single" w:sz="4" w:space="0" w:color="auto"/>
            </w:tcBorders>
            <w:noWrap/>
            <w:vAlign w:val="center"/>
            <w:hideMark/>
          </w:tcPr>
          <w:p w14:paraId="55F833BF"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0,0</w:t>
            </w:r>
          </w:p>
        </w:tc>
        <w:tc>
          <w:tcPr>
            <w:tcW w:w="1709" w:type="dxa"/>
            <w:tcBorders>
              <w:bottom w:val="single" w:sz="4" w:space="0" w:color="auto"/>
            </w:tcBorders>
            <w:noWrap/>
            <w:vAlign w:val="center"/>
            <w:hideMark/>
          </w:tcPr>
          <w:p w14:paraId="2DE6064C"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nm</w:t>
            </w:r>
          </w:p>
        </w:tc>
      </w:tr>
      <w:tr w:rsidR="00F5454C" w14:paraId="4C177DAC" w14:textId="77777777" w:rsidTr="00BD7ADC">
        <w:trPr>
          <w:trHeight w:val="254"/>
          <w:jc w:val="center"/>
        </w:trPr>
        <w:tc>
          <w:tcPr>
            <w:tcW w:w="2086" w:type="dxa"/>
            <w:tcBorders>
              <w:top w:val="single" w:sz="4" w:space="0" w:color="auto"/>
            </w:tcBorders>
            <w:noWrap/>
            <w:vAlign w:val="center"/>
            <w:hideMark/>
          </w:tcPr>
          <w:p w14:paraId="5F230D8E"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Mg-dd</w:t>
            </w:r>
          </w:p>
        </w:tc>
        <w:tc>
          <w:tcPr>
            <w:tcW w:w="2614" w:type="dxa"/>
            <w:vMerge w:val="restart"/>
            <w:tcBorders>
              <w:top w:val="single" w:sz="4" w:space="0" w:color="auto"/>
            </w:tcBorders>
            <w:vAlign w:val="center"/>
            <w:hideMark/>
          </w:tcPr>
          <w:p w14:paraId="5ECBED4E"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AAS/Asam Acetat 1 N</w:t>
            </w:r>
          </w:p>
        </w:tc>
        <w:tc>
          <w:tcPr>
            <w:tcW w:w="1508" w:type="dxa"/>
            <w:vMerge w:val="restart"/>
            <w:tcBorders>
              <w:top w:val="single" w:sz="4" w:space="0" w:color="auto"/>
            </w:tcBorders>
            <w:vAlign w:val="center"/>
            <w:hideMark/>
          </w:tcPr>
          <w:p w14:paraId="505BB8AE" w14:textId="77777777" w:rsidR="00BD7ADC" w:rsidRPr="00BD7ADC" w:rsidRDefault="00000000" w:rsidP="003F4567">
            <w:pPr>
              <w:tabs>
                <w:tab w:val="left" w:pos="720"/>
              </w:tabs>
              <w:spacing w:before="40" w:after="40" w:line="240" w:lineRule="auto"/>
              <w:contextualSpacing/>
              <w:jc w:val="both"/>
              <w:rPr>
                <w:rFonts w:ascii="Cambria" w:hAnsi="Cambria"/>
                <w:sz w:val="20"/>
                <w:szCs w:val="20"/>
              </w:rPr>
            </w:pPr>
            <w:r w:rsidRPr="00354ED9">
              <w:rPr>
                <w:rFonts w:ascii="Cambria" w:hAnsi="Cambria"/>
                <w:sz w:val="20"/>
                <w:szCs w:val="20"/>
              </w:rPr>
              <w:t xml:space="preserve">         </w:t>
            </w:r>
            <w:r w:rsidRPr="00BD7ADC">
              <w:rPr>
                <w:rFonts w:ascii="Cambria" w:hAnsi="Cambria"/>
                <w:sz w:val="20"/>
                <w:szCs w:val="20"/>
              </w:rPr>
              <w:t>me.100 g</w:t>
            </w:r>
            <w:r w:rsidRPr="00BD7ADC">
              <w:rPr>
                <w:rFonts w:ascii="Cambria" w:hAnsi="Cambria"/>
                <w:sz w:val="20"/>
                <w:szCs w:val="20"/>
                <w:vertAlign w:val="superscript"/>
              </w:rPr>
              <w:t>-1</w:t>
            </w:r>
          </w:p>
        </w:tc>
        <w:tc>
          <w:tcPr>
            <w:tcW w:w="1206" w:type="dxa"/>
            <w:tcBorders>
              <w:top w:val="single" w:sz="4" w:space="0" w:color="auto"/>
            </w:tcBorders>
            <w:noWrap/>
            <w:vAlign w:val="center"/>
            <w:hideMark/>
          </w:tcPr>
          <w:p w14:paraId="69C8C1E7"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2,16</w:t>
            </w:r>
          </w:p>
        </w:tc>
        <w:tc>
          <w:tcPr>
            <w:tcW w:w="1709" w:type="dxa"/>
            <w:tcBorders>
              <w:top w:val="single" w:sz="4" w:space="0" w:color="auto"/>
            </w:tcBorders>
            <w:noWrap/>
            <w:vAlign w:val="center"/>
            <w:hideMark/>
          </w:tcPr>
          <w:p w14:paraId="55C39AD3"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h</w:t>
            </w:r>
          </w:p>
        </w:tc>
      </w:tr>
      <w:tr w:rsidR="00F5454C" w14:paraId="70D8F617" w14:textId="77777777" w:rsidTr="00BD7ADC">
        <w:trPr>
          <w:trHeight w:val="254"/>
          <w:jc w:val="center"/>
        </w:trPr>
        <w:tc>
          <w:tcPr>
            <w:tcW w:w="2086" w:type="dxa"/>
            <w:noWrap/>
            <w:vAlign w:val="center"/>
            <w:hideMark/>
          </w:tcPr>
          <w:p w14:paraId="3C3D1457"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Ca-dd</w:t>
            </w:r>
          </w:p>
        </w:tc>
        <w:tc>
          <w:tcPr>
            <w:tcW w:w="2614" w:type="dxa"/>
            <w:vMerge/>
            <w:vAlign w:val="center"/>
            <w:hideMark/>
          </w:tcPr>
          <w:p w14:paraId="0E4213D1"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508" w:type="dxa"/>
            <w:vMerge/>
            <w:vAlign w:val="center"/>
            <w:hideMark/>
          </w:tcPr>
          <w:p w14:paraId="17FEF3F9"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206" w:type="dxa"/>
            <w:noWrap/>
            <w:vAlign w:val="center"/>
            <w:hideMark/>
          </w:tcPr>
          <w:p w14:paraId="2AE25008"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5,50</w:t>
            </w:r>
          </w:p>
        </w:tc>
        <w:tc>
          <w:tcPr>
            <w:tcW w:w="1709" w:type="dxa"/>
            <w:noWrap/>
            <w:vAlign w:val="center"/>
            <w:hideMark/>
          </w:tcPr>
          <w:p w14:paraId="4724FBB4"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l</w:t>
            </w:r>
          </w:p>
        </w:tc>
      </w:tr>
      <w:tr w:rsidR="00F5454C" w14:paraId="4C5996FC" w14:textId="77777777" w:rsidTr="00BD7ADC">
        <w:trPr>
          <w:trHeight w:val="254"/>
          <w:jc w:val="center"/>
        </w:trPr>
        <w:tc>
          <w:tcPr>
            <w:tcW w:w="2086" w:type="dxa"/>
            <w:noWrap/>
            <w:vAlign w:val="center"/>
            <w:hideMark/>
          </w:tcPr>
          <w:p w14:paraId="4E65B80E"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K-dd</w:t>
            </w:r>
          </w:p>
        </w:tc>
        <w:tc>
          <w:tcPr>
            <w:tcW w:w="2614" w:type="dxa"/>
            <w:vMerge/>
            <w:vAlign w:val="center"/>
            <w:hideMark/>
          </w:tcPr>
          <w:p w14:paraId="2F52D9E9"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508" w:type="dxa"/>
            <w:vMerge/>
            <w:vAlign w:val="center"/>
            <w:hideMark/>
          </w:tcPr>
          <w:p w14:paraId="187E9DE8"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206" w:type="dxa"/>
            <w:noWrap/>
            <w:vAlign w:val="center"/>
            <w:hideMark/>
          </w:tcPr>
          <w:p w14:paraId="4C7C9417"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0,17</w:t>
            </w:r>
          </w:p>
        </w:tc>
        <w:tc>
          <w:tcPr>
            <w:tcW w:w="1709" w:type="dxa"/>
            <w:noWrap/>
            <w:vAlign w:val="center"/>
            <w:hideMark/>
          </w:tcPr>
          <w:p w14:paraId="624A02C8"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l</w:t>
            </w:r>
          </w:p>
        </w:tc>
      </w:tr>
      <w:tr w:rsidR="00F5454C" w14:paraId="65C4D27C" w14:textId="77777777" w:rsidTr="00BD7ADC">
        <w:trPr>
          <w:trHeight w:val="254"/>
          <w:jc w:val="center"/>
        </w:trPr>
        <w:tc>
          <w:tcPr>
            <w:tcW w:w="2086" w:type="dxa"/>
            <w:tcBorders>
              <w:bottom w:val="single" w:sz="4" w:space="0" w:color="auto"/>
            </w:tcBorders>
            <w:noWrap/>
            <w:vAlign w:val="center"/>
          </w:tcPr>
          <w:p w14:paraId="240223B4"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Na-dd</w:t>
            </w:r>
          </w:p>
        </w:tc>
        <w:tc>
          <w:tcPr>
            <w:tcW w:w="2614" w:type="dxa"/>
            <w:vMerge/>
            <w:tcBorders>
              <w:bottom w:val="single" w:sz="4" w:space="0" w:color="auto"/>
            </w:tcBorders>
            <w:vAlign w:val="center"/>
          </w:tcPr>
          <w:p w14:paraId="01208849"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508" w:type="dxa"/>
            <w:vMerge/>
            <w:tcBorders>
              <w:bottom w:val="single" w:sz="4" w:space="0" w:color="000000"/>
            </w:tcBorders>
            <w:vAlign w:val="center"/>
          </w:tcPr>
          <w:p w14:paraId="58190E77" w14:textId="77777777" w:rsidR="00BD7ADC" w:rsidRPr="00BD7ADC" w:rsidRDefault="00BD7ADC" w:rsidP="00BD7ADC">
            <w:pPr>
              <w:tabs>
                <w:tab w:val="left" w:pos="720"/>
              </w:tabs>
              <w:spacing w:before="40" w:after="40" w:line="240" w:lineRule="auto"/>
              <w:ind w:firstLine="567"/>
              <w:contextualSpacing/>
              <w:jc w:val="both"/>
              <w:rPr>
                <w:rFonts w:ascii="Cambria" w:hAnsi="Cambria"/>
                <w:sz w:val="20"/>
                <w:szCs w:val="20"/>
              </w:rPr>
            </w:pPr>
          </w:p>
        </w:tc>
        <w:tc>
          <w:tcPr>
            <w:tcW w:w="1206" w:type="dxa"/>
            <w:tcBorders>
              <w:bottom w:val="single" w:sz="4" w:space="0" w:color="auto"/>
            </w:tcBorders>
            <w:noWrap/>
            <w:vAlign w:val="center"/>
          </w:tcPr>
          <w:p w14:paraId="544CE30B"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0,40</w:t>
            </w:r>
          </w:p>
        </w:tc>
        <w:tc>
          <w:tcPr>
            <w:tcW w:w="1709" w:type="dxa"/>
            <w:tcBorders>
              <w:bottom w:val="single" w:sz="4" w:space="0" w:color="auto"/>
            </w:tcBorders>
            <w:noWrap/>
            <w:vAlign w:val="center"/>
          </w:tcPr>
          <w:p w14:paraId="24AEECF2" w14:textId="77777777" w:rsidR="00BD7ADC" w:rsidRPr="00BD7ADC" w:rsidRDefault="00000000" w:rsidP="00BD7ADC">
            <w:pPr>
              <w:tabs>
                <w:tab w:val="left" w:pos="720"/>
              </w:tabs>
              <w:spacing w:before="40" w:after="40" w:line="240" w:lineRule="auto"/>
              <w:ind w:firstLine="567"/>
              <w:contextualSpacing/>
              <w:jc w:val="both"/>
              <w:rPr>
                <w:rFonts w:ascii="Cambria" w:hAnsi="Cambria"/>
                <w:sz w:val="20"/>
                <w:szCs w:val="20"/>
              </w:rPr>
            </w:pPr>
            <w:r w:rsidRPr="00BD7ADC">
              <w:rPr>
                <w:rFonts w:ascii="Cambria" w:hAnsi="Cambria"/>
                <w:sz w:val="20"/>
                <w:szCs w:val="20"/>
              </w:rPr>
              <w:t>m</w:t>
            </w:r>
          </w:p>
        </w:tc>
      </w:tr>
    </w:tbl>
    <w:p w14:paraId="4ACBBF54" w14:textId="77777777" w:rsidR="003F4567" w:rsidRPr="00354ED9" w:rsidRDefault="00000000" w:rsidP="003F4567">
      <w:pPr>
        <w:ind w:left="993" w:hanging="993"/>
        <w:rPr>
          <w:rFonts w:ascii="Cambria" w:hAnsi="Cambria"/>
          <w:i/>
          <w:iCs/>
          <w:sz w:val="18"/>
          <w:szCs w:val="18"/>
        </w:rPr>
      </w:pPr>
      <w:r w:rsidRPr="00354ED9">
        <w:rPr>
          <w:rFonts w:ascii="Cambria" w:hAnsi="Cambria"/>
          <w:i/>
          <w:iCs/>
          <w:sz w:val="18"/>
          <w:szCs w:val="18"/>
        </w:rPr>
        <w:t>Description: Criteria for Planting Media, h = High, l = Low, m = Medium, sl = Slightly Low, vl = Very Low,  vh = Very High, n = Neutral, nm = Not Measurable</w:t>
      </w:r>
    </w:p>
    <w:p w14:paraId="0577E305" w14:textId="77777777" w:rsidR="00BF0110" w:rsidRPr="00354ED9" w:rsidRDefault="00000000" w:rsidP="00B03BD7">
      <w:pPr>
        <w:spacing w:after="0" w:line="240" w:lineRule="auto"/>
        <w:ind w:firstLine="567"/>
        <w:jc w:val="both"/>
        <w:rPr>
          <w:rFonts w:ascii="Cambria" w:hAnsi="Cambria"/>
        </w:rPr>
      </w:pPr>
      <w:r w:rsidRPr="00354ED9">
        <w:rPr>
          <w:rFonts w:ascii="Cambria" w:hAnsi="Cambria"/>
        </w:rPr>
        <w:t>The results of the initial soil analysis can be seen in Table 1, where the results of the Inceptisol Soil analysis show that the Soil Physics analysis test on Inceptisol soil texture includes Sandy Loam texture, where the sand texture is 89%, dust texture is 17.30% and clay texture is 3.22%. These results determine the texture of Inceptisol soil, which has appropriate criteria. While the Soil Chemistry analysis test on C-Organic with 4.88% analysis results including high criteria, N-Total with 0.30% analysis results with low criteria, P</w:t>
      </w:r>
      <w:r w:rsidRPr="00354ED9">
        <w:rPr>
          <w:rFonts w:ascii="Cambria" w:hAnsi="Cambria"/>
          <w:vertAlign w:val="subscript"/>
        </w:rPr>
        <w:t>2</w:t>
      </w:r>
      <w:r w:rsidRPr="00354ED9">
        <w:rPr>
          <w:rFonts w:ascii="Cambria" w:hAnsi="Cambria"/>
        </w:rPr>
        <w:t>O</w:t>
      </w:r>
      <w:r w:rsidRPr="00354ED9">
        <w:rPr>
          <w:rFonts w:ascii="Cambria" w:hAnsi="Cambria"/>
          <w:vertAlign w:val="subscript"/>
        </w:rPr>
        <w:t>5</w:t>
      </w:r>
      <w:r w:rsidRPr="00354ED9">
        <w:rPr>
          <w:rFonts w:ascii="Cambria" w:hAnsi="Cambria"/>
        </w:rPr>
        <w:t>-avl with P-Bray-I test analysis results with 1.88 ppm P with very low criteria and K</w:t>
      </w:r>
      <w:r w:rsidRPr="00354ED9">
        <w:rPr>
          <w:rFonts w:ascii="Cambria" w:hAnsi="Cambria"/>
          <w:vertAlign w:val="subscript"/>
        </w:rPr>
        <w:t>2</w:t>
      </w:r>
      <w:r w:rsidRPr="00354ED9">
        <w:rPr>
          <w:rFonts w:ascii="Cambria" w:hAnsi="Cambria"/>
        </w:rPr>
        <w:t>O Potential Ex. HCl 25% analysis result in 0.11 me.100 g</w:t>
      </w:r>
      <w:r w:rsidRPr="00354ED9">
        <w:rPr>
          <w:rFonts w:ascii="Cambria" w:hAnsi="Cambria"/>
          <w:vertAlign w:val="superscript"/>
        </w:rPr>
        <w:t>-1</w:t>
      </w:r>
      <w:r w:rsidRPr="00354ED9">
        <w:rPr>
          <w:rFonts w:ascii="Cambria" w:hAnsi="Cambria"/>
        </w:rPr>
        <w:t xml:space="preserve"> with very low criteria.</w:t>
      </w:r>
    </w:p>
    <w:p w14:paraId="634CE0B3" w14:textId="77777777" w:rsidR="00BF0110" w:rsidRPr="00BF0110" w:rsidRDefault="00000000" w:rsidP="00B03BD7">
      <w:pPr>
        <w:spacing w:after="0" w:line="240" w:lineRule="auto"/>
        <w:ind w:firstLine="567"/>
        <w:jc w:val="both"/>
        <w:rPr>
          <w:rFonts w:ascii="Cambria" w:hAnsi="Cambria"/>
        </w:rPr>
      </w:pPr>
      <w:r w:rsidRPr="00BF0110">
        <w:rPr>
          <w:rFonts w:ascii="Cambria" w:hAnsi="Cambria"/>
        </w:rPr>
        <w:t>In the analysis of Cation Exchange Capacity (CEC), the analysis result is 41.22 me.100 g</w:t>
      </w:r>
      <w:r w:rsidRPr="00BF0110">
        <w:rPr>
          <w:rFonts w:ascii="Cambria" w:hAnsi="Cambria"/>
          <w:vertAlign w:val="superscript"/>
        </w:rPr>
        <w:t>-1</w:t>
      </w:r>
      <w:r w:rsidRPr="00BF0110">
        <w:rPr>
          <w:rFonts w:ascii="Cambria" w:hAnsi="Cambria"/>
        </w:rPr>
        <w:t xml:space="preserve"> with high criteria, while in soil acidity (pH) H</w:t>
      </w:r>
      <w:r w:rsidRPr="00BF0110">
        <w:rPr>
          <w:rFonts w:ascii="Cambria" w:hAnsi="Cambria"/>
          <w:vertAlign w:val="subscript"/>
        </w:rPr>
        <w:t>2</w:t>
      </w:r>
      <w:r w:rsidRPr="00BF0110">
        <w:rPr>
          <w:rFonts w:ascii="Cambria" w:hAnsi="Cambria"/>
        </w:rPr>
        <w:t xml:space="preserve">O the analysis result is 6.8 with high criteria and includes acidic soil. According to </w:t>
      </w:r>
      <w:r w:rsidR="00804836">
        <w:rPr>
          <w:rFonts w:ascii="Cambria" w:hAnsi="Cambria"/>
        </w:rPr>
        <w:fldChar w:fldCharType="begin" w:fldLock="1"/>
      </w:r>
      <w:r w:rsidR="00370FE4">
        <w:rPr>
          <w:rFonts w:ascii="Cambria" w:hAnsi="Cambria"/>
        </w:rPr>
        <w:instrText>ADDIN CSL_CITATION {"citationItems":[{"id":"ITEM-1","itemData":{"author":[{"dropping-particle":"","family":"Novizan","given":"","non-dropping-particle":"","parse-names":false,"suffix":""}],"container-title":"Agromedia","id":"ITEM-1","issued":{"date-parts":[["2018"]]},"title":"Petunjuk Pemupukan yang RelatifNo Title","type":"article-journal"},"uris":["http://www.mendeley.com/documents/?uuid=471aeb12-832f-4cc2-b227-3244cab2d52d"]}],"mendeley":{"formattedCitation":"(Novizan, 2018)","manualFormatting":"Novizan, (2018)","plainTextFormattedCitation":"(Novizan, 2018)","previouslyFormattedCitation":"(Novizan, 2018)"},"properties":{"noteIndex":0},"schema":"https://github.com/citation-style-language/schema/raw/master/csl-citation.json"}</w:instrText>
      </w:r>
      <w:r w:rsidR="00804836">
        <w:rPr>
          <w:rFonts w:ascii="Cambria" w:hAnsi="Cambria"/>
        </w:rPr>
        <w:fldChar w:fldCharType="separate"/>
      </w:r>
      <w:r w:rsidR="00804836" w:rsidRPr="00804836">
        <w:rPr>
          <w:rFonts w:ascii="Cambria" w:hAnsi="Cambria"/>
          <w:noProof/>
        </w:rPr>
        <w:t xml:space="preserve">Novizan </w:t>
      </w:r>
      <w:r w:rsidR="00804836">
        <w:rPr>
          <w:rFonts w:ascii="Cambria" w:hAnsi="Cambria"/>
          <w:noProof/>
        </w:rPr>
        <w:t>(</w:t>
      </w:r>
      <w:r w:rsidR="00804836" w:rsidRPr="00804836">
        <w:rPr>
          <w:rFonts w:ascii="Cambria" w:hAnsi="Cambria"/>
          <w:noProof/>
        </w:rPr>
        <w:t>2018)</w:t>
      </w:r>
      <w:r w:rsidR="00804836">
        <w:rPr>
          <w:rFonts w:ascii="Cambria" w:hAnsi="Cambria"/>
        </w:rPr>
        <w:fldChar w:fldCharType="end"/>
      </w:r>
      <w:r w:rsidRPr="00BF0110">
        <w:rPr>
          <w:rFonts w:ascii="Cambria" w:hAnsi="Cambria"/>
        </w:rPr>
        <w:t xml:space="preserve"> and </w:t>
      </w:r>
      <w:r w:rsidR="006A77F2">
        <w:rPr>
          <w:rFonts w:ascii="Cambria" w:hAnsi="Cambria"/>
        </w:rPr>
        <w:fldChar w:fldCharType="begin" w:fldLock="1"/>
      </w:r>
      <w:r w:rsidR="00715FC0">
        <w:rPr>
          <w:rFonts w:ascii="Cambria" w:hAnsi="Cambria"/>
        </w:rPr>
        <w:instrText>ADDIN CSL_CITATION {"citationItems":[{"id":"ITEM-1","itemData":{"author":[{"dropping-particle":"","family":"Hadad, M.E.A., E. Randriani, C. Firman","given":"&amp; T. Sugandi","non-dropping-particle":"","parse-names":false,"suffix":""}],"id":"ITEM-1","issued":{"date-parts":[["2018"]]},"number-of-pages":"38","title":"Budidaya Tanaman Pala","type":"book"},"uris":["http://www.mendeley.com/documents/?uuid=75380dde-7519-4246-a753-9ab7aa24ed19"]}],"mendeley":{"formattedCitation":"(Hadad, M.E.A., E. Randriani, C. Firman, 2018)","manualFormatting":"Hadad, M.E.A., E. Randriani, C. Firman, (2018)","plainTextFormattedCitation":"(Hadad, M.E.A., E. Randriani, C. Firman, 2018)","previouslyFormattedCitation":"(Hadad, M.E.A., E. Randriani, C. Firman, 2018)"},"properties":{"noteIndex":0},"schema":"https://github.com/citation-style-language/schema/raw/master/csl-citation.json"}</w:instrText>
      </w:r>
      <w:r w:rsidR="006A77F2">
        <w:rPr>
          <w:rFonts w:ascii="Cambria" w:hAnsi="Cambria"/>
        </w:rPr>
        <w:fldChar w:fldCharType="separate"/>
      </w:r>
      <w:r w:rsidR="006A77F2" w:rsidRPr="006A77F2">
        <w:rPr>
          <w:rFonts w:ascii="Cambria" w:hAnsi="Cambria"/>
          <w:noProof/>
        </w:rPr>
        <w:t xml:space="preserve">Hadad, M.E.A., E. Randriani, and C. Firman </w:t>
      </w:r>
      <w:r w:rsidR="006A77F2">
        <w:rPr>
          <w:rFonts w:ascii="Cambria" w:hAnsi="Cambria"/>
          <w:noProof/>
        </w:rPr>
        <w:t>(</w:t>
      </w:r>
      <w:r w:rsidR="006A77F2" w:rsidRPr="006A77F2">
        <w:rPr>
          <w:rFonts w:ascii="Cambria" w:hAnsi="Cambria"/>
          <w:noProof/>
        </w:rPr>
        <w:t>2018)</w:t>
      </w:r>
      <w:r w:rsidR="006A77F2">
        <w:rPr>
          <w:rFonts w:ascii="Cambria" w:hAnsi="Cambria"/>
        </w:rPr>
        <w:fldChar w:fldCharType="end"/>
      </w:r>
      <w:r w:rsidRPr="00BF0110">
        <w:rPr>
          <w:rFonts w:ascii="Cambria" w:hAnsi="Cambria"/>
        </w:rPr>
        <w:t xml:space="preserve">, bacteria and fungi can grow in soil with soil acidity (pH) ranging from 5.5 to 7.0 and can decompose organic matter in the soil. At the decomposition of organic matter in the soil, microorganisms will decompose, which can be produced into humus, which will increase Cation Exchange Capacity (CEC) levels in the soil </w:t>
      </w:r>
      <w:r w:rsidR="00B9111F">
        <w:rPr>
          <w:rFonts w:ascii="Cambria" w:hAnsi="Cambria"/>
        </w:rPr>
        <w:fldChar w:fldCharType="begin" w:fldLock="1"/>
      </w:r>
      <w:r w:rsidR="00C4182B">
        <w:rPr>
          <w:rFonts w:ascii="Cambria" w:hAnsi="Cambria"/>
        </w:rPr>
        <w:instrText>ADDIN CSL_CITATION {"citationItems":[{"id":"ITEM-1","itemData":{"author":[{"dropping-particle":"","family":"Sutanto","given":"R","non-dropping-particle":"","parse-names":false,"suffix":""}],"container-title":"Permasyarakatan dan Pengembangannya","id":"ITEM-1","issued":{"date-parts":[["2002"]]},"title":"Penerapan Pertanian Organik","type":"article-journal"},"uris":["http://www.mendeley.com/documents/?uuid=f3655fea-102e-4feb-bed4-6347eedc569b"]}],"mendeley":{"formattedCitation":"(Sutanto, 2002)","plainTextFormattedCitation":"(Sutanto, 2002)","previouslyFormattedCitation":"(Sutanto, 2002)"},"properties":{"noteIndex":0},"schema":"https://github.com/citation-style-language/schema/raw/master/csl-citation.json"}</w:instrText>
      </w:r>
      <w:r w:rsidR="00B9111F">
        <w:rPr>
          <w:rFonts w:ascii="Cambria" w:hAnsi="Cambria"/>
        </w:rPr>
        <w:fldChar w:fldCharType="separate"/>
      </w:r>
      <w:r w:rsidR="00B9111F" w:rsidRPr="00B9111F">
        <w:rPr>
          <w:rFonts w:ascii="Cambria" w:hAnsi="Cambria"/>
          <w:noProof/>
        </w:rPr>
        <w:t>(Sutanto, 2002)</w:t>
      </w:r>
      <w:r w:rsidR="00B9111F">
        <w:rPr>
          <w:rFonts w:ascii="Cambria" w:hAnsi="Cambria"/>
        </w:rPr>
        <w:fldChar w:fldCharType="end"/>
      </w:r>
      <w:r w:rsidRPr="00BF0110">
        <w:rPr>
          <w:rFonts w:ascii="Cambria" w:hAnsi="Cambria"/>
        </w:rPr>
        <w:t xml:space="preserve">. </w:t>
      </w:r>
    </w:p>
    <w:p w14:paraId="17552179" w14:textId="77777777" w:rsidR="00BF0110" w:rsidRPr="00BF0110" w:rsidRDefault="00000000" w:rsidP="00B03BD7">
      <w:pPr>
        <w:spacing w:after="0" w:line="240" w:lineRule="auto"/>
        <w:ind w:firstLine="567"/>
        <w:jc w:val="both"/>
        <w:rPr>
          <w:rFonts w:ascii="Cambria" w:hAnsi="Cambria"/>
        </w:rPr>
      </w:pPr>
      <w:r w:rsidRPr="00BF0110">
        <w:rPr>
          <w:rFonts w:ascii="Cambria" w:hAnsi="Cambria"/>
        </w:rPr>
        <w:lastRenderedPageBreak/>
        <w:t>In the exchangeable cation test, the analysis results on aluminium; the soil is not bound to aluminium and remains healthy. The analysis of magnesium exchangeable (Mg-dd) with high criteria means it can be measured where the analysis results are 2.16 me.100 g</w:t>
      </w:r>
      <w:r w:rsidRPr="00BF0110">
        <w:rPr>
          <w:rFonts w:ascii="Cambria" w:hAnsi="Cambria"/>
          <w:vertAlign w:val="superscript"/>
        </w:rPr>
        <w:t>-1</w:t>
      </w:r>
      <w:r w:rsidRPr="00BF0110">
        <w:rPr>
          <w:rFonts w:ascii="Cambria" w:hAnsi="Cambria"/>
        </w:rPr>
        <w:t>. Ca-dd and K-dd include low criteria, which is low availability of exchangeable calcium and potassium nutrients in the soil and exchangeable sodium nutrients (Na-dd) with analysis results of 0.40 me.100 g</w:t>
      </w:r>
      <w:r w:rsidRPr="00BF0110">
        <w:rPr>
          <w:rFonts w:ascii="Cambria" w:hAnsi="Cambria"/>
          <w:vertAlign w:val="superscript"/>
        </w:rPr>
        <w:t xml:space="preserve">-1, </w:t>
      </w:r>
      <w:r w:rsidRPr="00BF0110">
        <w:rPr>
          <w:rFonts w:ascii="Cambria" w:hAnsi="Cambria"/>
        </w:rPr>
        <w:t>including with moderate criteria, indicates that sodium has the ability of positive ions to hold and exchange ions.</w:t>
      </w:r>
    </w:p>
    <w:p w14:paraId="37F1EEC2" w14:textId="77777777" w:rsidR="00BF0110" w:rsidRPr="00BF0110" w:rsidRDefault="00000000" w:rsidP="002E7A05">
      <w:pPr>
        <w:spacing w:after="0" w:line="240" w:lineRule="auto"/>
        <w:ind w:firstLine="567"/>
        <w:jc w:val="both"/>
        <w:rPr>
          <w:rFonts w:ascii="Cambria" w:hAnsi="Cambria"/>
          <w:noProof/>
        </w:rPr>
      </w:pPr>
      <w:r w:rsidRPr="00BF0110">
        <w:rPr>
          <w:rFonts w:ascii="Cambria" w:hAnsi="Cambria"/>
        </w:rPr>
        <w:t xml:space="preserve">The soil fraction is directly proportional to the fraction content, which means that the soil is very suitable for plants and plant growth. The lower the clay content in Inceptisol soil, the better the plant growth </w:t>
      </w:r>
      <w:r w:rsidR="0082653F">
        <w:rPr>
          <w:rFonts w:ascii="Cambria" w:hAnsi="Cambria"/>
        </w:rPr>
        <w:fldChar w:fldCharType="begin" w:fldLock="1"/>
      </w:r>
      <w:r w:rsidR="00B9111F">
        <w:rPr>
          <w:rFonts w:ascii="Cambria" w:hAnsi="Cambria"/>
        </w:rPr>
        <w:instrText>ADDIN CSL_CITATION {"citationItems":[{"id":"ITEM-1","itemData":{"author":[{"dropping-particle":"","family":"Ruhnayat, A., &amp; Martini","given":"E.","non-dropping-particle":"","parse-names":false,"suffix":""}],"container-title":"Balai Penelitian Tanaman Rempah dan Obat","id":"ITEM-1","issued":{"date-parts":[["2015"]]},"title":"Budi Daya Pala pada Kebun Campur","type":"article-journal"},"uris":["http://www.mendeley.com/documents/?uuid=ac896e54-9658-4951-a9f8-c4ecff22ec5f"]}],"mendeley":{"formattedCitation":"(Ruhnayat, A., &amp; Martini, 2015)","manualFormatting":"(Ruhnayat, A., &amp; Martini, 2015;","plainTextFormattedCitation":"(Ruhnayat, A., &amp; Martini, 2015)","previouslyFormattedCitation":"(Ruhnayat, A., &amp; Martini, 2015)"},"properties":{"noteIndex":0},"schema":"https://github.com/citation-style-language/schema/raw/master/csl-citation.json"}</w:instrText>
      </w:r>
      <w:r w:rsidR="0082653F">
        <w:rPr>
          <w:rFonts w:ascii="Cambria" w:hAnsi="Cambria"/>
        </w:rPr>
        <w:fldChar w:fldCharType="separate"/>
      </w:r>
      <w:r w:rsidR="0082653F" w:rsidRPr="0082653F">
        <w:rPr>
          <w:rFonts w:ascii="Cambria" w:hAnsi="Cambria"/>
          <w:noProof/>
        </w:rPr>
        <w:t>(Ruhnayat, A., &amp; Martini, 2015</w:t>
      </w:r>
      <w:r w:rsidR="002E7A05">
        <w:rPr>
          <w:rFonts w:ascii="Cambria" w:hAnsi="Cambria"/>
          <w:noProof/>
        </w:rPr>
        <w:t>;</w:t>
      </w:r>
      <w:r w:rsidR="0082653F">
        <w:rPr>
          <w:rFonts w:ascii="Cambria" w:hAnsi="Cambria"/>
        </w:rPr>
        <w:fldChar w:fldCharType="end"/>
      </w:r>
      <w:r w:rsidR="00715FC0">
        <w:rPr>
          <w:rFonts w:ascii="Cambria" w:hAnsi="Cambria"/>
        </w:rPr>
        <w:fldChar w:fldCharType="begin" w:fldLock="1"/>
      </w:r>
      <w:r w:rsidR="005B0CC3">
        <w:rPr>
          <w:rFonts w:ascii="Cambria" w:hAnsi="Cambria"/>
        </w:rPr>
        <w:instrText>ADDIN CSL_CITATION {"citationItems":[{"id":"ITEM-1","itemData":{"author":[{"dropping-particle":"","family":"Lubis","given":"Erwin Junaidi","non-dropping-particle":"","parse-names":false,"suffix":""}],"id":"ITEM-1","issued":{"date-parts":[["2023"]]},"publisher":"Universitas Sumatera Utara","title":"Efektivitas Metode Pemupukan pada Pertumbuhan Dua Varietas Bibit Kelapa Sawit (Elaeis guineensis Jacq.) di Pembibitan Utama (Main Nursery)","type":"article"},"uris":["http://www.mendeley.com/documents/?uuid=c813595b-f6e1-4535-b8ff-2022ac8d49a1"]}],"mendeley":{"formattedCitation":"(Lubis, 2023)","manualFormatting":"Lubis, 2023)","plainTextFormattedCitation":"(Lubis, 2023)","previouslyFormattedCitation":"(Lubis, 2023)"},"properties":{"noteIndex":0},"schema":"https://github.com/citation-style-language/schema/raw/master/csl-citation.json"}</w:instrText>
      </w:r>
      <w:r w:rsidR="00715FC0">
        <w:rPr>
          <w:rFonts w:ascii="Cambria" w:hAnsi="Cambria"/>
        </w:rPr>
        <w:fldChar w:fldCharType="separate"/>
      </w:r>
      <w:r w:rsidR="00715FC0" w:rsidRPr="00715FC0">
        <w:rPr>
          <w:rFonts w:ascii="Cambria" w:hAnsi="Cambria"/>
          <w:noProof/>
        </w:rPr>
        <w:t xml:space="preserve"> Lubis, 2023)</w:t>
      </w:r>
      <w:r w:rsidR="00715FC0">
        <w:rPr>
          <w:rFonts w:ascii="Cambria" w:hAnsi="Cambria"/>
        </w:rPr>
        <w:fldChar w:fldCharType="end"/>
      </w:r>
      <w:r w:rsidRPr="00BF0110">
        <w:rPr>
          <w:rFonts w:ascii="Cambria" w:hAnsi="Cambria"/>
        </w:rPr>
        <w:t>.</w:t>
      </w:r>
    </w:p>
    <w:p w14:paraId="57614D1C" w14:textId="77777777" w:rsidR="00BF0110" w:rsidRPr="00354ED9" w:rsidRDefault="00000000" w:rsidP="00B03BD7">
      <w:pPr>
        <w:spacing w:after="0" w:line="240" w:lineRule="auto"/>
        <w:ind w:firstLine="567"/>
        <w:jc w:val="both"/>
        <w:rPr>
          <w:rFonts w:ascii="Cambria" w:hAnsi="Cambria"/>
        </w:rPr>
      </w:pPr>
      <w:r w:rsidRPr="00BF0110">
        <w:rPr>
          <w:rFonts w:ascii="Cambria" w:hAnsi="Cambria"/>
        </w:rPr>
        <w:t xml:space="preserve">In the results of exchangeable cation analysis, low nutrient availability will result in H+ activity or pH in the soil. According to the opinion of Leiwakabessy et al. (2002), in Hasibuan (2023), low nutrients of Potassium (K) and Magnesium (Mg), so these ions are difficult to exchangeable cations, then these nutrients are more difficult to absorb by plants. Meanwhile, according to </w:t>
      </w:r>
      <w:r w:rsidR="005B0CC3">
        <w:rPr>
          <w:rFonts w:ascii="Cambria" w:hAnsi="Cambria"/>
        </w:rPr>
        <w:fldChar w:fldCharType="begin" w:fldLock="1"/>
      </w:r>
      <w:r w:rsidR="000D002C">
        <w:rPr>
          <w:rFonts w:ascii="Cambria" w:hAnsi="Cambria"/>
        </w:rPr>
        <w:instrText>ADDIN CSL_CITATION {"citationItems":[{"id":"ITEM-1","itemData":{"ISSN":"2828-335X","author":[{"dropping-particle":"","family":"Lubis","given":"Erwin Junaidi","non-dropping-particle":"","parse-names":false,"suffix":""},{"dropping-particle":"","family":"Rauf","given":"Abdul","non-dropping-particle":"","parse-names":false,"suffix":""},{"dropping-particle":"","family":"Sarifuddin","given":"Sarifuddin","non-dropping-particle":"","parse-names":false,"suffix":""}],"container-title":"Journal of Social Research","id":"ITEM-1","issue":"8","issued":{"date-parts":[["2023"]]},"page":"2759-2772","title":"Effectiveness of Fertilization Techniques on Growth Two Varieties of Palm Oil Seeds (Elaeis guineensis Jacq.) in Main Nursery","type":"article-journal","volume":"2"},"uris":["http://www.mendeley.com/documents/?uuid=f37917bd-6240-4d7c-a0ac-fcf50fbd0865"]}],"mendeley":{"formattedCitation":"(Lubis et al., 2023)","manualFormatting":"Lubis et al., (2023)","plainTextFormattedCitation":"(Lubis et al., 2023)","previouslyFormattedCitation":"(Lubis et al., 2023)"},"properties":{"noteIndex":0},"schema":"https://github.com/citation-style-language/schema/raw/master/csl-citation.json"}</w:instrText>
      </w:r>
      <w:r w:rsidR="005B0CC3">
        <w:rPr>
          <w:rFonts w:ascii="Cambria" w:hAnsi="Cambria"/>
        </w:rPr>
        <w:fldChar w:fldCharType="separate"/>
      </w:r>
      <w:r w:rsidR="005B0CC3" w:rsidRPr="005B0CC3">
        <w:rPr>
          <w:rFonts w:ascii="Cambria" w:hAnsi="Cambria"/>
          <w:noProof/>
        </w:rPr>
        <w:t xml:space="preserve">Lubis et al. </w:t>
      </w:r>
      <w:r w:rsidR="005B0CC3">
        <w:rPr>
          <w:rFonts w:ascii="Cambria" w:hAnsi="Cambria"/>
          <w:noProof/>
        </w:rPr>
        <w:t>(</w:t>
      </w:r>
      <w:r w:rsidR="005B0CC3" w:rsidRPr="005B0CC3">
        <w:rPr>
          <w:rFonts w:ascii="Cambria" w:hAnsi="Cambria"/>
          <w:noProof/>
        </w:rPr>
        <w:t>2023)</w:t>
      </w:r>
      <w:r w:rsidR="005B0CC3">
        <w:rPr>
          <w:rFonts w:ascii="Cambria" w:hAnsi="Cambria"/>
        </w:rPr>
        <w:fldChar w:fldCharType="end"/>
      </w:r>
      <w:r w:rsidRPr="00BF0110">
        <w:rPr>
          <w:rFonts w:ascii="Cambria" w:hAnsi="Cambria"/>
        </w:rPr>
        <w:t>, the analysis of nutrient availability in the soil is very decisive in the presence of nutrients in the soil so that hydrogen activity or acidity ions occur, and if there is a lack of poisoning in the soil, then ions will not occur.</w:t>
      </w:r>
    </w:p>
    <w:p w14:paraId="4AD813B2" w14:textId="77777777" w:rsidR="00B03BD7" w:rsidRPr="00354ED9" w:rsidRDefault="00B03BD7" w:rsidP="00B03BD7">
      <w:pPr>
        <w:spacing w:after="0" w:line="240" w:lineRule="auto"/>
        <w:jc w:val="both"/>
        <w:rPr>
          <w:rFonts w:ascii="Cambria" w:hAnsi="Cambria"/>
        </w:rPr>
      </w:pPr>
    </w:p>
    <w:p w14:paraId="5E787C6A" w14:textId="77777777" w:rsidR="00B03BD7" w:rsidRPr="00B03BD7" w:rsidRDefault="00000000" w:rsidP="00B03BD7">
      <w:pPr>
        <w:numPr>
          <w:ilvl w:val="0"/>
          <w:numId w:val="8"/>
        </w:numPr>
        <w:tabs>
          <w:tab w:val="left" w:pos="851"/>
        </w:tabs>
        <w:spacing w:after="0" w:line="240" w:lineRule="auto"/>
        <w:ind w:left="567" w:firstLine="0"/>
        <w:jc w:val="both"/>
        <w:rPr>
          <w:rFonts w:ascii="Cambria" w:hAnsi="Cambria"/>
          <w:b/>
          <w:i/>
        </w:rPr>
      </w:pPr>
      <w:r w:rsidRPr="00B03BD7">
        <w:rPr>
          <w:rFonts w:ascii="Cambria" w:hAnsi="Cambria"/>
          <w:b/>
          <w:i/>
        </w:rPr>
        <w:t>Final Soil Analysis 1 – Inceptisol Soil</w:t>
      </w:r>
    </w:p>
    <w:p w14:paraId="4F49C5CC" w14:textId="77777777" w:rsidR="00B03BD7" w:rsidRPr="00B03BD7" w:rsidRDefault="00000000" w:rsidP="00B03BD7">
      <w:pPr>
        <w:spacing w:after="0" w:line="240" w:lineRule="auto"/>
        <w:ind w:firstLine="567"/>
        <w:jc w:val="both"/>
        <w:rPr>
          <w:rFonts w:ascii="Cambria" w:hAnsi="Cambria"/>
        </w:rPr>
      </w:pPr>
      <w:r w:rsidRPr="00B03BD7">
        <w:rPr>
          <w:rFonts w:ascii="Cambria" w:hAnsi="Cambria"/>
        </w:rPr>
        <w:t>To determine the characteristics of planting media in Inceptisol Soil, a final analysis of the quality and fertility of Inceptisol soil that has been applied is conducted. The following Table 2 lists the results of the final soil analysis on Inceptisol soil as follows:</w:t>
      </w:r>
    </w:p>
    <w:p w14:paraId="5C361466" w14:textId="77777777" w:rsidR="00B03BD7" w:rsidRPr="00B03BD7" w:rsidRDefault="00B03BD7" w:rsidP="00B03BD7">
      <w:pPr>
        <w:spacing w:after="0" w:line="240" w:lineRule="auto"/>
        <w:jc w:val="both"/>
        <w:rPr>
          <w:rFonts w:ascii="Cambria" w:hAnsi="Cambria"/>
        </w:rPr>
      </w:pPr>
    </w:p>
    <w:p w14:paraId="21B97F79" w14:textId="77777777" w:rsidR="00B03BD7" w:rsidRPr="00B03BD7" w:rsidRDefault="00000000" w:rsidP="00B03BD7">
      <w:pPr>
        <w:spacing w:after="0" w:line="240" w:lineRule="auto"/>
        <w:jc w:val="center"/>
        <w:rPr>
          <w:rFonts w:ascii="Cambria" w:hAnsi="Cambria"/>
          <w:b/>
          <w:bCs/>
        </w:rPr>
      </w:pPr>
      <w:r w:rsidRPr="00B03BD7">
        <w:rPr>
          <w:rFonts w:ascii="Cambria" w:hAnsi="Cambria"/>
          <w:b/>
          <w:bCs/>
        </w:rPr>
        <w:t>Table 2. Final Analysis Results 1 – Inceptisol Soil</w:t>
      </w:r>
    </w:p>
    <w:p w14:paraId="645C0671" w14:textId="77777777" w:rsidR="00B03BD7" w:rsidRPr="00BF0110" w:rsidRDefault="00B03BD7" w:rsidP="00B03BD7">
      <w:pPr>
        <w:spacing w:after="0" w:line="240" w:lineRule="auto"/>
        <w:jc w:val="both"/>
        <w:rPr>
          <w:rFonts w:ascii="Cambria" w:hAnsi="Cambria"/>
        </w:rPr>
      </w:pPr>
    </w:p>
    <w:tbl>
      <w:tblPr>
        <w:tblW w:w="9119" w:type="dxa"/>
        <w:tblInd w:w="93" w:type="dxa"/>
        <w:tblBorders>
          <w:top w:val="single" w:sz="4" w:space="0" w:color="auto"/>
          <w:bottom w:val="single" w:sz="4" w:space="0" w:color="auto"/>
        </w:tblBorders>
        <w:tblLook w:val="04A0" w:firstRow="1" w:lastRow="0" w:firstColumn="1" w:lastColumn="0" w:noHBand="0" w:noVBand="1"/>
      </w:tblPr>
      <w:tblGrid>
        <w:gridCol w:w="3671"/>
        <w:gridCol w:w="1851"/>
        <w:gridCol w:w="1905"/>
        <w:gridCol w:w="1692"/>
      </w:tblGrid>
      <w:tr w:rsidR="00F5454C" w14:paraId="3E175745" w14:textId="77777777" w:rsidTr="00562199">
        <w:trPr>
          <w:trHeight w:val="356"/>
        </w:trPr>
        <w:tc>
          <w:tcPr>
            <w:tcW w:w="3671" w:type="dxa"/>
            <w:vMerge w:val="restart"/>
            <w:tcBorders>
              <w:top w:val="single" w:sz="4" w:space="0" w:color="auto"/>
              <w:bottom w:val="single" w:sz="4" w:space="0" w:color="auto"/>
            </w:tcBorders>
            <w:vAlign w:val="center"/>
            <w:hideMark/>
          </w:tcPr>
          <w:p w14:paraId="397013D0" w14:textId="77777777" w:rsidR="00562199" w:rsidRPr="00562199" w:rsidRDefault="00000000" w:rsidP="00562199">
            <w:pPr>
              <w:rPr>
                <w:rFonts w:ascii="Cambria" w:hAnsi="Cambria"/>
                <w:b/>
                <w:sz w:val="20"/>
                <w:szCs w:val="20"/>
              </w:rPr>
            </w:pPr>
            <w:r w:rsidRPr="00562199">
              <w:rPr>
                <w:rFonts w:ascii="Cambria" w:hAnsi="Cambria"/>
                <w:b/>
                <w:sz w:val="20"/>
                <w:szCs w:val="20"/>
              </w:rPr>
              <w:t>Caterpillar Epigenetics</w:t>
            </w:r>
          </w:p>
        </w:tc>
        <w:tc>
          <w:tcPr>
            <w:tcW w:w="1851" w:type="dxa"/>
            <w:tcBorders>
              <w:top w:val="single" w:sz="4" w:space="0" w:color="auto"/>
              <w:bottom w:val="single" w:sz="4" w:space="0" w:color="auto"/>
            </w:tcBorders>
            <w:noWrap/>
            <w:vAlign w:val="center"/>
            <w:hideMark/>
          </w:tcPr>
          <w:p w14:paraId="1BB4E895" w14:textId="77777777" w:rsidR="00562199" w:rsidRPr="00562199" w:rsidRDefault="00000000" w:rsidP="00562199">
            <w:pPr>
              <w:rPr>
                <w:rFonts w:ascii="Cambria" w:hAnsi="Cambria"/>
                <w:b/>
                <w:sz w:val="20"/>
                <w:szCs w:val="20"/>
              </w:rPr>
            </w:pPr>
            <w:r w:rsidRPr="00562199">
              <w:rPr>
                <w:rFonts w:ascii="Cambria" w:hAnsi="Cambria"/>
                <w:b/>
                <w:sz w:val="20"/>
                <w:szCs w:val="20"/>
              </w:rPr>
              <w:t>C-Organik</w:t>
            </w:r>
          </w:p>
        </w:tc>
        <w:tc>
          <w:tcPr>
            <w:tcW w:w="1905" w:type="dxa"/>
            <w:tcBorders>
              <w:top w:val="single" w:sz="4" w:space="0" w:color="auto"/>
              <w:bottom w:val="single" w:sz="4" w:space="0" w:color="auto"/>
            </w:tcBorders>
            <w:noWrap/>
            <w:vAlign w:val="center"/>
            <w:hideMark/>
          </w:tcPr>
          <w:p w14:paraId="064B63B0" w14:textId="77777777" w:rsidR="00562199" w:rsidRPr="00562199" w:rsidRDefault="00000000" w:rsidP="00562199">
            <w:pPr>
              <w:rPr>
                <w:rFonts w:ascii="Cambria" w:hAnsi="Cambria"/>
                <w:b/>
                <w:sz w:val="20"/>
                <w:szCs w:val="20"/>
              </w:rPr>
            </w:pPr>
            <w:r w:rsidRPr="00562199">
              <w:rPr>
                <w:rFonts w:ascii="Cambria" w:hAnsi="Cambria"/>
                <w:b/>
                <w:sz w:val="20"/>
                <w:szCs w:val="20"/>
              </w:rPr>
              <w:t>CEC</w:t>
            </w:r>
          </w:p>
        </w:tc>
        <w:tc>
          <w:tcPr>
            <w:tcW w:w="1692" w:type="dxa"/>
            <w:tcBorders>
              <w:top w:val="single" w:sz="4" w:space="0" w:color="auto"/>
              <w:bottom w:val="single" w:sz="4" w:space="0" w:color="auto"/>
            </w:tcBorders>
            <w:noWrap/>
            <w:vAlign w:val="center"/>
            <w:hideMark/>
          </w:tcPr>
          <w:p w14:paraId="153C1C53" w14:textId="77777777" w:rsidR="00562199" w:rsidRPr="00562199" w:rsidRDefault="00000000" w:rsidP="00562199">
            <w:pPr>
              <w:rPr>
                <w:rFonts w:ascii="Cambria" w:hAnsi="Cambria"/>
                <w:b/>
                <w:sz w:val="20"/>
                <w:szCs w:val="20"/>
              </w:rPr>
            </w:pPr>
            <w:r w:rsidRPr="00562199">
              <w:rPr>
                <w:rFonts w:ascii="Cambria" w:hAnsi="Cambria"/>
                <w:b/>
                <w:sz w:val="20"/>
                <w:szCs w:val="20"/>
              </w:rPr>
              <w:t>pH H</w:t>
            </w:r>
            <w:r w:rsidRPr="00562199">
              <w:rPr>
                <w:rFonts w:ascii="Cambria" w:hAnsi="Cambria"/>
                <w:b/>
                <w:sz w:val="20"/>
                <w:szCs w:val="20"/>
                <w:vertAlign w:val="subscript"/>
              </w:rPr>
              <w:t>2</w:t>
            </w:r>
            <w:r w:rsidRPr="00562199">
              <w:rPr>
                <w:rFonts w:ascii="Cambria" w:hAnsi="Cambria"/>
                <w:b/>
                <w:sz w:val="20"/>
                <w:szCs w:val="20"/>
              </w:rPr>
              <w:t>O</w:t>
            </w:r>
          </w:p>
        </w:tc>
      </w:tr>
      <w:tr w:rsidR="00F5454C" w14:paraId="50979183" w14:textId="77777777" w:rsidTr="00562199">
        <w:trPr>
          <w:trHeight w:val="356"/>
        </w:trPr>
        <w:tc>
          <w:tcPr>
            <w:tcW w:w="3671" w:type="dxa"/>
            <w:vMerge/>
            <w:tcBorders>
              <w:top w:val="single" w:sz="4" w:space="0" w:color="auto"/>
              <w:bottom w:val="single" w:sz="4" w:space="0" w:color="auto"/>
            </w:tcBorders>
            <w:vAlign w:val="center"/>
            <w:hideMark/>
          </w:tcPr>
          <w:p w14:paraId="207BD7F9" w14:textId="77777777" w:rsidR="00562199" w:rsidRPr="00562199" w:rsidRDefault="00562199" w:rsidP="00562199">
            <w:pPr>
              <w:rPr>
                <w:rFonts w:ascii="Cambria" w:hAnsi="Cambria"/>
                <w:b/>
                <w:sz w:val="20"/>
                <w:szCs w:val="20"/>
              </w:rPr>
            </w:pPr>
          </w:p>
        </w:tc>
        <w:tc>
          <w:tcPr>
            <w:tcW w:w="1851" w:type="dxa"/>
            <w:tcBorders>
              <w:top w:val="single" w:sz="4" w:space="0" w:color="auto"/>
              <w:bottom w:val="single" w:sz="4" w:space="0" w:color="auto"/>
            </w:tcBorders>
            <w:noWrap/>
            <w:vAlign w:val="center"/>
            <w:hideMark/>
          </w:tcPr>
          <w:p w14:paraId="4A192022" w14:textId="77777777" w:rsidR="00562199" w:rsidRPr="00562199" w:rsidRDefault="00000000" w:rsidP="00562199">
            <w:pPr>
              <w:rPr>
                <w:rFonts w:ascii="Cambria" w:hAnsi="Cambria"/>
                <w:b/>
                <w:sz w:val="20"/>
                <w:szCs w:val="20"/>
              </w:rPr>
            </w:pPr>
            <w:r w:rsidRPr="00562199">
              <w:rPr>
                <w:rFonts w:ascii="Cambria" w:hAnsi="Cambria"/>
                <w:b/>
                <w:sz w:val="20"/>
                <w:szCs w:val="20"/>
              </w:rPr>
              <w:t>%</w:t>
            </w:r>
          </w:p>
        </w:tc>
        <w:tc>
          <w:tcPr>
            <w:tcW w:w="1905" w:type="dxa"/>
            <w:tcBorders>
              <w:top w:val="single" w:sz="4" w:space="0" w:color="auto"/>
              <w:bottom w:val="single" w:sz="4" w:space="0" w:color="auto"/>
            </w:tcBorders>
            <w:noWrap/>
            <w:vAlign w:val="center"/>
            <w:hideMark/>
          </w:tcPr>
          <w:p w14:paraId="40F2866D" w14:textId="77777777" w:rsidR="00562199" w:rsidRPr="00562199" w:rsidRDefault="00000000" w:rsidP="00562199">
            <w:pPr>
              <w:rPr>
                <w:rFonts w:ascii="Cambria" w:hAnsi="Cambria"/>
                <w:b/>
                <w:sz w:val="20"/>
                <w:szCs w:val="20"/>
              </w:rPr>
            </w:pPr>
            <w:r w:rsidRPr="00562199">
              <w:rPr>
                <w:rFonts w:ascii="Cambria" w:hAnsi="Cambria"/>
                <w:b/>
                <w:sz w:val="20"/>
                <w:szCs w:val="20"/>
              </w:rPr>
              <w:t>me.100 g</w:t>
            </w:r>
            <w:r w:rsidRPr="00562199">
              <w:rPr>
                <w:rFonts w:ascii="Cambria" w:hAnsi="Cambria"/>
                <w:b/>
                <w:sz w:val="20"/>
                <w:szCs w:val="20"/>
                <w:vertAlign w:val="superscript"/>
              </w:rPr>
              <w:t>-1</w:t>
            </w:r>
          </w:p>
        </w:tc>
        <w:tc>
          <w:tcPr>
            <w:tcW w:w="1692" w:type="dxa"/>
            <w:tcBorders>
              <w:top w:val="single" w:sz="4" w:space="0" w:color="auto"/>
              <w:bottom w:val="single" w:sz="4" w:space="0" w:color="auto"/>
            </w:tcBorders>
            <w:noWrap/>
            <w:vAlign w:val="center"/>
            <w:hideMark/>
          </w:tcPr>
          <w:p w14:paraId="331BE7C7" w14:textId="77777777" w:rsidR="00562199" w:rsidRPr="00562199" w:rsidRDefault="00000000" w:rsidP="00562199">
            <w:pPr>
              <w:rPr>
                <w:rFonts w:ascii="Cambria" w:hAnsi="Cambria"/>
                <w:b/>
                <w:sz w:val="20"/>
                <w:szCs w:val="20"/>
              </w:rPr>
            </w:pPr>
            <w:r w:rsidRPr="00562199">
              <w:rPr>
                <w:rFonts w:ascii="Cambria" w:hAnsi="Cambria"/>
                <w:b/>
                <w:sz w:val="20"/>
                <w:szCs w:val="20"/>
              </w:rPr>
              <w:t>----</w:t>
            </w:r>
          </w:p>
        </w:tc>
      </w:tr>
      <w:tr w:rsidR="00F5454C" w14:paraId="71D63D7F" w14:textId="77777777" w:rsidTr="00562199">
        <w:trPr>
          <w:trHeight w:val="477"/>
        </w:trPr>
        <w:tc>
          <w:tcPr>
            <w:tcW w:w="3671" w:type="dxa"/>
            <w:tcBorders>
              <w:top w:val="single" w:sz="4" w:space="0" w:color="auto"/>
              <w:bottom w:val="nil"/>
            </w:tcBorders>
            <w:noWrap/>
            <w:vAlign w:val="center"/>
            <w:hideMark/>
          </w:tcPr>
          <w:p w14:paraId="61B62EB9" w14:textId="77777777" w:rsidR="00562199" w:rsidRPr="00562199" w:rsidRDefault="00000000" w:rsidP="00562199">
            <w:pPr>
              <w:rPr>
                <w:rFonts w:ascii="Cambria" w:hAnsi="Cambria"/>
                <w:sz w:val="20"/>
                <w:szCs w:val="20"/>
              </w:rPr>
            </w:pPr>
            <w:r w:rsidRPr="00562199">
              <w:rPr>
                <w:rFonts w:ascii="Cambria" w:hAnsi="Cambria"/>
                <w:i/>
                <w:sz w:val="20"/>
                <w:szCs w:val="20"/>
              </w:rPr>
              <w:t>Tenebrio molitor</w:t>
            </w:r>
            <w:r w:rsidRPr="00562199">
              <w:rPr>
                <w:rFonts w:ascii="Cambria" w:hAnsi="Cambria"/>
                <w:sz w:val="20"/>
                <w:szCs w:val="20"/>
              </w:rPr>
              <w:t xml:space="preserve"> (L.) Tenebrionidae.</w:t>
            </w:r>
          </w:p>
        </w:tc>
        <w:tc>
          <w:tcPr>
            <w:tcW w:w="1851" w:type="dxa"/>
            <w:tcBorders>
              <w:top w:val="single" w:sz="4" w:space="0" w:color="auto"/>
              <w:bottom w:val="nil"/>
            </w:tcBorders>
            <w:vAlign w:val="center"/>
            <w:hideMark/>
          </w:tcPr>
          <w:p w14:paraId="252B4AC5" w14:textId="77777777" w:rsidR="00562199" w:rsidRPr="00562199" w:rsidRDefault="00000000" w:rsidP="00562199">
            <w:pPr>
              <w:rPr>
                <w:rFonts w:ascii="Cambria" w:hAnsi="Cambria"/>
                <w:sz w:val="20"/>
                <w:szCs w:val="20"/>
              </w:rPr>
            </w:pPr>
            <w:r w:rsidRPr="00562199">
              <w:rPr>
                <w:rFonts w:ascii="Cambria" w:hAnsi="Cambria"/>
                <w:sz w:val="20"/>
                <w:szCs w:val="20"/>
              </w:rPr>
              <w:t>4,93 h</w:t>
            </w:r>
          </w:p>
        </w:tc>
        <w:tc>
          <w:tcPr>
            <w:tcW w:w="1905" w:type="dxa"/>
            <w:tcBorders>
              <w:top w:val="single" w:sz="4" w:space="0" w:color="auto"/>
              <w:bottom w:val="nil"/>
            </w:tcBorders>
            <w:vAlign w:val="center"/>
            <w:hideMark/>
          </w:tcPr>
          <w:p w14:paraId="08E0400F" w14:textId="77777777" w:rsidR="00562199" w:rsidRPr="00562199" w:rsidRDefault="00000000" w:rsidP="00562199">
            <w:pPr>
              <w:rPr>
                <w:rFonts w:ascii="Cambria" w:hAnsi="Cambria"/>
                <w:sz w:val="20"/>
                <w:szCs w:val="20"/>
              </w:rPr>
            </w:pPr>
            <w:r w:rsidRPr="00562199">
              <w:rPr>
                <w:rFonts w:ascii="Cambria" w:hAnsi="Cambria"/>
                <w:sz w:val="20"/>
                <w:szCs w:val="20"/>
              </w:rPr>
              <w:t>43,78 h</w:t>
            </w:r>
          </w:p>
        </w:tc>
        <w:tc>
          <w:tcPr>
            <w:tcW w:w="1692" w:type="dxa"/>
            <w:tcBorders>
              <w:top w:val="single" w:sz="4" w:space="0" w:color="auto"/>
              <w:bottom w:val="nil"/>
            </w:tcBorders>
            <w:vAlign w:val="center"/>
            <w:hideMark/>
          </w:tcPr>
          <w:p w14:paraId="1E0646C9" w14:textId="77777777" w:rsidR="00562199" w:rsidRPr="00562199" w:rsidRDefault="00000000" w:rsidP="00562199">
            <w:pPr>
              <w:rPr>
                <w:rFonts w:ascii="Cambria" w:hAnsi="Cambria"/>
                <w:sz w:val="20"/>
                <w:szCs w:val="20"/>
              </w:rPr>
            </w:pPr>
            <w:r w:rsidRPr="00562199">
              <w:rPr>
                <w:rFonts w:ascii="Cambria" w:hAnsi="Cambria"/>
                <w:sz w:val="20"/>
                <w:szCs w:val="20"/>
              </w:rPr>
              <w:t>6,9 m (n)</w:t>
            </w:r>
          </w:p>
        </w:tc>
      </w:tr>
      <w:tr w:rsidR="00F5454C" w14:paraId="64031ABA" w14:textId="77777777" w:rsidTr="00562199">
        <w:trPr>
          <w:trHeight w:val="532"/>
        </w:trPr>
        <w:tc>
          <w:tcPr>
            <w:tcW w:w="3671" w:type="dxa"/>
            <w:tcBorders>
              <w:top w:val="nil"/>
            </w:tcBorders>
            <w:noWrap/>
            <w:vAlign w:val="center"/>
            <w:hideMark/>
          </w:tcPr>
          <w:p w14:paraId="43021EFB" w14:textId="77777777" w:rsidR="00562199" w:rsidRPr="00562199" w:rsidRDefault="00000000" w:rsidP="00562199">
            <w:pPr>
              <w:rPr>
                <w:rFonts w:ascii="Cambria" w:hAnsi="Cambria"/>
                <w:sz w:val="20"/>
                <w:szCs w:val="20"/>
              </w:rPr>
            </w:pPr>
            <w:r w:rsidRPr="00562199">
              <w:rPr>
                <w:rFonts w:ascii="Cambria" w:hAnsi="Cambria"/>
                <w:i/>
                <w:sz w:val="20"/>
                <w:szCs w:val="20"/>
              </w:rPr>
              <w:t>Bombyx mori</w:t>
            </w:r>
            <w:r w:rsidRPr="00562199">
              <w:rPr>
                <w:rFonts w:ascii="Cambria" w:hAnsi="Cambria"/>
                <w:sz w:val="20"/>
                <w:szCs w:val="20"/>
              </w:rPr>
              <w:t xml:space="preserve"> Linnaeus.</w:t>
            </w:r>
          </w:p>
        </w:tc>
        <w:tc>
          <w:tcPr>
            <w:tcW w:w="1851" w:type="dxa"/>
            <w:tcBorders>
              <w:top w:val="nil"/>
            </w:tcBorders>
            <w:vAlign w:val="center"/>
            <w:hideMark/>
          </w:tcPr>
          <w:p w14:paraId="436B681D" w14:textId="77777777" w:rsidR="00562199" w:rsidRPr="00562199" w:rsidRDefault="00000000" w:rsidP="00562199">
            <w:pPr>
              <w:rPr>
                <w:rFonts w:ascii="Cambria" w:hAnsi="Cambria"/>
                <w:sz w:val="20"/>
                <w:szCs w:val="20"/>
              </w:rPr>
            </w:pPr>
            <w:r w:rsidRPr="00562199">
              <w:rPr>
                <w:rFonts w:ascii="Cambria" w:hAnsi="Cambria"/>
                <w:sz w:val="20"/>
                <w:szCs w:val="20"/>
              </w:rPr>
              <w:t>4,99 h</w:t>
            </w:r>
          </w:p>
        </w:tc>
        <w:tc>
          <w:tcPr>
            <w:tcW w:w="1905" w:type="dxa"/>
            <w:tcBorders>
              <w:top w:val="nil"/>
            </w:tcBorders>
            <w:vAlign w:val="center"/>
            <w:hideMark/>
          </w:tcPr>
          <w:p w14:paraId="0A85EDB7" w14:textId="77777777" w:rsidR="00562199" w:rsidRPr="00562199" w:rsidRDefault="00000000" w:rsidP="00562199">
            <w:pPr>
              <w:rPr>
                <w:rFonts w:ascii="Cambria" w:hAnsi="Cambria"/>
                <w:sz w:val="20"/>
                <w:szCs w:val="20"/>
              </w:rPr>
            </w:pPr>
            <w:r w:rsidRPr="00562199">
              <w:rPr>
                <w:rFonts w:ascii="Cambria" w:hAnsi="Cambria"/>
                <w:sz w:val="20"/>
                <w:szCs w:val="20"/>
              </w:rPr>
              <w:t>45,12 h</w:t>
            </w:r>
          </w:p>
        </w:tc>
        <w:tc>
          <w:tcPr>
            <w:tcW w:w="1692" w:type="dxa"/>
            <w:tcBorders>
              <w:top w:val="nil"/>
            </w:tcBorders>
            <w:vAlign w:val="center"/>
            <w:hideMark/>
          </w:tcPr>
          <w:p w14:paraId="4EFD3C67" w14:textId="77777777" w:rsidR="00562199" w:rsidRPr="00562199" w:rsidRDefault="00000000" w:rsidP="00562199">
            <w:pPr>
              <w:rPr>
                <w:rFonts w:ascii="Cambria" w:hAnsi="Cambria"/>
                <w:sz w:val="20"/>
                <w:szCs w:val="20"/>
              </w:rPr>
            </w:pPr>
            <w:r w:rsidRPr="00562199">
              <w:rPr>
                <w:rFonts w:ascii="Cambria" w:hAnsi="Cambria"/>
                <w:sz w:val="20"/>
                <w:szCs w:val="20"/>
              </w:rPr>
              <w:t>7,2 m (n)</w:t>
            </w:r>
          </w:p>
        </w:tc>
      </w:tr>
      <w:tr w:rsidR="00F5454C" w14:paraId="2D9A86F8" w14:textId="77777777" w:rsidTr="00562199">
        <w:trPr>
          <w:trHeight w:val="509"/>
        </w:trPr>
        <w:tc>
          <w:tcPr>
            <w:tcW w:w="3671" w:type="dxa"/>
            <w:vMerge w:val="restart"/>
            <w:vAlign w:val="center"/>
            <w:hideMark/>
          </w:tcPr>
          <w:p w14:paraId="66252D35" w14:textId="77777777" w:rsidR="00562199" w:rsidRPr="00562199" w:rsidRDefault="00000000" w:rsidP="00562199">
            <w:pPr>
              <w:rPr>
                <w:rFonts w:ascii="Cambria" w:hAnsi="Cambria"/>
                <w:sz w:val="20"/>
                <w:szCs w:val="20"/>
                <w:lang w:val="pt-BR"/>
              </w:rPr>
            </w:pPr>
            <w:r w:rsidRPr="00562199">
              <w:rPr>
                <w:rFonts w:ascii="Cambria" w:hAnsi="Cambria"/>
                <w:i/>
                <w:sz w:val="20"/>
                <w:szCs w:val="20"/>
                <w:lang w:val="pt-BR"/>
              </w:rPr>
              <w:t>Tenebrio molitor</w:t>
            </w:r>
            <w:r w:rsidRPr="00562199">
              <w:rPr>
                <w:rFonts w:ascii="Cambria" w:hAnsi="Cambria"/>
                <w:sz w:val="20"/>
                <w:szCs w:val="20"/>
                <w:lang w:val="pt-BR"/>
              </w:rPr>
              <w:t xml:space="preserve"> (L.) Tenebrionidae. </w:t>
            </w:r>
          </w:p>
          <w:p w14:paraId="3B4429B7" w14:textId="77777777" w:rsidR="00562199" w:rsidRPr="00562199" w:rsidRDefault="00000000" w:rsidP="00562199">
            <w:pPr>
              <w:rPr>
                <w:rFonts w:ascii="Cambria" w:hAnsi="Cambria"/>
                <w:sz w:val="20"/>
                <w:szCs w:val="20"/>
                <w:lang w:val="pt-BR"/>
              </w:rPr>
            </w:pPr>
            <w:r w:rsidRPr="00562199">
              <w:rPr>
                <w:rFonts w:ascii="Cambria" w:hAnsi="Cambria"/>
                <w:b/>
                <w:sz w:val="20"/>
                <w:szCs w:val="20"/>
                <w:lang w:val="pt-BR"/>
              </w:rPr>
              <w:t>+</w:t>
            </w:r>
            <w:r w:rsidRPr="00562199">
              <w:rPr>
                <w:rFonts w:ascii="Cambria" w:hAnsi="Cambria"/>
                <w:sz w:val="20"/>
                <w:szCs w:val="20"/>
                <w:lang w:val="pt-BR"/>
              </w:rPr>
              <w:t xml:space="preserve"> </w:t>
            </w:r>
            <w:r w:rsidRPr="00562199">
              <w:rPr>
                <w:rFonts w:ascii="Cambria" w:hAnsi="Cambria"/>
                <w:i/>
                <w:sz w:val="20"/>
                <w:szCs w:val="20"/>
                <w:lang w:val="pt-BR"/>
              </w:rPr>
              <w:t>Bombyx mori</w:t>
            </w:r>
            <w:r w:rsidRPr="00562199">
              <w:rPr>
                <w:rFonts w:ascii="Cambria" w:hAnsi="Cambria"/>
                <w:sz w:val="20"/>
                <w:szCs w:val="20"/>
                <w:lang w:val="pt-BR"/>
              </w:rPr>
              <w:t xml:space="preserve"> Linnaeus.</w:t>
            </w:r>
          </w:p>
        </w:tc>
        <w:tc>
          <w:tcPr>
            <w:tcW w:w="1851" w:type="dxa"/>
            <w:vMerge w:val="restart"/>
            <w:vAlign w:val="center"/>
            <w:hideMark/>
          </w:tcPr>
          <w:p w14:paraId="410114B1" w14:textId="77777777" w:rsidR="00562199" w:rsidRPr="00562199" w:rsidRDefault="00000000" w:rsidP="00562199">
            <w:pPr>
              <w:rPr>
                <w:rFonts w:ascii="Cambria" w:hAnsi="Cambria"/>
                <w:sz w:val="20"/>
                <w:szCs w:val="20"/>
              </w:rPr>
            </w:pPr>
            <w:r w:rsidRPr="00562199">
              <w:rPr>
                <w:rFonts w:ascii="Cambria" w:hAnsi="Cambria"/>
                <w:sz w:val="20"/>
                <w:szCs w:val="20"/>
              </w:rPr>
              <w:t>5,27 h</w:t>
            </w:r>
          </w:p>
        </w:tc>
        <w:tc>
          <w:tcPr>
            <w:tcW w:w="1905" w:type="dxa"/>
            <w:vMerge w:val="restart"/>
            <w:vAlign w:val="center"/>
            <w:hideMark/>
          </w:tcPr>
          <w:p w14:paraId="6183A184" w14:textId="77777777" w:rsidR="00562199" w:rsidRPr="00562199" w:rsidRDefault="00000000" w:rsidP="00562199">
            <w:pPr>
              <w:rPr>
                <w:rFonts w:ascii="Cambria" w:hAnsi="Cambria"/>
                <w:sz w:val="20"/>
                <w:szCs w:val="20"/>
              </w:rPr>
            </w:pPr>
            <w:r w:rsidRPr="00562199">
              <w:rPr>
                <w:rFonts w:ascii="Cambria" w:hAnsi="Cambria"/>
                <w:sz w:val="20"/>
                <w:szCs w:val="20"/>
              </w:rPr>
              <w:t>49,98 h</w:t>
            </w:r>
          </w:p>
        </w:tc>
        <w:tc>
          <w:tcPr>
            <w:tcW w:w="1692" w:type="dxa"/>
            <w:vMerge w:val="restart"/>
            <w:vAlign w:val="center"/>
            <w:hideMark/>
          </w:tcPr>
          <w:p w14:paraId="11D82F48" w14:textId="77777777" w:rsidR="00562199" w:rsidRPr="00562199" w:rsidRDefault="00000000" w:rsidP="00562199">
            <w:pPr>
              <w:rPr>
                <w:rFonts w:ascii="Cambria" w:hAnsi="Cambria"/>
                <w:sz w:val="20"/>
                <w:szCs w:val="20"/>
              </w:rPr>
            </w:pPr>
            <w:r w:rsidRPr="00562199">
              <w:rPr>
                <w:rFonts w:ascii="Cambria" w:hAnsi="Cambria"/>
                <w:sz w:val="20"/>
                <w:szCs w:val="20"/>
              </w:rPr>
              <w:t>7,4 m (n)</w:t>
            </w:r>
          </w:p>
        </w:tc>
      </w:tr>
      <w:tr w:rsidR="00F5454C" w14:paraId="0C3F1C0E" w14:textId="77777777" w:rsidTr="00562199">
        <w:trPr>
          <w:trHeight w:val="509"/>
        </w:trPr>
        <w:tc>
          <w:tcPr>
            <w:tcW w:w="3671" w:type="dxa"/>
            <w:vMerge/>
            <w:vAlign w:val="center"/>
            <w:hideMark/>
          </w:tcPr>
          <w:p w14:paraId="1C389935" w14:textId="77777777" w:rsidR="00562199" w:rsidRPr="00562199" w:rsidRDefault="00562199" w:rsidP="00562199">
            <w:pPr>
              <w:rPr>
                <w:rFonts w:ascii="Cambria" w:hAnsi="Cambria"/>
                <w:sz w:val="20"/>
                <w:szCs w:val="20"/>
              </w:rPr>
            </w:pPr>
          </w:p>
        </w:tc>
        <w:tc>
          <w:tcPr>
            <w:tcW w:w="1851" w:type="dxa"/>
            <w:vMerge/>
            <w:vAlign w:val="center"/>
            <w:hideMark/>
          </w:tcPr>
          <w:p w14:paraId="425A5A2C" w14:textId="77777777" w:rsidR="00562199" w:rsidRPr="00562199" w:rsidRDefault="00562199" w:rsidP="00562199">
            <w:pPr>
              <w:rPr>
                <w:rFonts w:ascii="Cambria" w:hAnsi="Cambria"/>
                <w:sz w:val="20"/>
                <w:szCs w:val="20"/>
              </w:rPr>
            </w:pPr>
          </w:p>
        </w:tc>
        <w:tc>
          <w:tcPr>
            <w:tcW w:w="1905" w:type="dxa"/>
            <w:vMerge/>
            <w:vAlign w:val="center"/>
            <w:hideMark/>
          </w:tcPr>
          <w:p w14:paraId="1F42349C" w14:textId="77777777" w:rsidR="00562199" w:rsidRPr="00562199" w:rsidRDefault="00562199" w:rsidP="00562199">
            <w:pPr>
              <w:rPr>
                <w:rFonts w:ascii="Cambria" w:hAnsi="Cambria"/>
                <w:sz w:val="20"/>
                <w:szCs w:val="20"/>
              </w:rPr>
            </w:pPr>
          </w:p>
        </w:tc>
        <w:tc>
          <w:tcPr>
            <w:tcW w:w="1692" w:type="dxa"/>
            <w:vMerge/>
            <w:vAlign w:val="center"/>
            <w:hideMark/>
          </w:tcPr>
          <w:p w14:paraId="49E90A5B" w14:textId="77777777" w:rsidR="00562199" w:rsidRPr="00562199" w:rsidRDefault="00562199" w:rsidP="00562199">
            <w:pPr>
              <w:rPr>
                <w:rFonts w:ascii="Cambria" w:hAnsi="Cambria"/>
                <w:sz w:val="20"/>
                <w:szCs w:val="20"/>
              </w:rPr>
            </w:pPr>
          </w:p>
        </w:tc>
      </w:tr>
    </w:tbl>
    <w:p w14:paraId="6C23F423" w14:textId="77777777" w:rsidR="000D1257" w:rsidRPr="000D1257" w:rsidRDefault="00000000" w:rsidP="000D1257">
      <w:pPr>
        <w:rPr>
          <w:rFonts w:ascii="Cambria" w:hAnsi="Cambria"/>
          <w:sz w:val="18"/>
          <w:szCs w:val="18"/>
        </w:rPr>
      </w:pPr>
      <w:r w:rsidRPr="000D1257">
        <w:rPr>
          <w:rFonts w:ascii="Cambria" w:hAnsi="Cambria"/>
          <w:sz w:val="18"/>
          <w:szCs w:val="18"/>
        </w:rPr>
        <w:t xml:space="preserve">Description: Criteria for Planting Media, h = High, l = Low, m = Medium, sl = Slightly Low, vl = Very Low, </w:t>
      </w:r>
    </w:p>
    <w:p w14:paraId="3A59E59E" w14:textId="77777777" w:rsidR="000D1257" w:rsidRPr="000D1257" w:rsidRDefault="00000000" w:rsidP="000D1257">
      <w:pPr>
        <w:rPr>
          <w:rFonts w:ascii="Cambria" w:hAnsi="Cambria"/>
          <w:sz w:val="18"/>
          <w:szCs w:val="18"/>
        </w:rPr>
      </w:pPr>
      <w:r w:rsidRPr="000D1257">
        <w:rPr>
          <w:rFonts w:ascii="Cambria" w:hAnsi="Cambria"/>
          <w:sz w:val="18"/>
          <w:szCs w:val="18"/>
        </w:rPr>
        <w:t xml:space="preserve">                      vh = Very High, n = Neutral, nm = Not Measurable</w:t>
      </w:r>
    </w:p>
    <w:p w14:paraId="25CA9E77" w14:textId="77777777" w:rsidR="000D1257" w:rsidRPr="00354ED9" w:rsidRDefault="00000000" w:rsidP="000D1257">
      <w:pPr>
        <w:spacing w:after="0" w:line="240" w:lineRule="auto"/>
        <w:ind w:firstLine="567"/>
        <w:jc w:val="both"/>
        <w:rPr>
          <w:rFonts w:ascii="Cambria" w:hAnsi="Cambria"/>
        </w:rPr>
      </w:pPr>
      <w:r w:rsidRPr="00354ED9">
        <w:rPr>
          <w:rFonts w:ascii="Cambria" w:hAnsi="Cambria"/>
        </w:rPr>
        <w:t xml:space="preserve">In the final analysis of Inceptisol soil, the analysis of soil organic carbon (C-Organic) was found to have increased after the application of genetic caterpillars: </w:t>
      </w:r>
      <w:r w:rsidRPr="00354ED9">
        <w:rPr>
          <w:rFonts w:ascii="Cambria" w:hAnsi="Cambria"/>
          <w:i/>
        </w:rPr>
        <w:t>Tenebrio molitor</w:t>
      </w:r>
      <w:r w:rsidRPr="00354ED9">
        <w:rPr>
          <w:rFonts w:ascii="Cambria" w:hAnsi="Cambria"/>
        </w:rPr>
        <w:t xml:space="preserve"> (L.) Tenebrionidae. and </w:t>
      </w:r>
      <w:r w:rsidRPr="00354ED9">
        <w:rPr>
          <w:rFonts w:ascii="Cambria" w:hAnsi="Cambria"/>
          <w:i/>
        </w:rPr>
        <w:t>Bombyx mori</w:t>
      </w:r>
      <w:r w:rsidRPr="00354ED9">
        <w:rPr>
          <w:rFonts w:ascii="Cambria" w:hAnsi="Cambria"/>
        </w:rPr>
        <w:t xml:space="preserve"> Linnaeus. As well as a mixture of both genetics on both caterpillars. In the HongKong caterpillar (</w:t>
      </w:r>
      <w:r w:rsidRPr="00354ED9">
        <w:rPr>
          <w:rFonts w:ascii="Cambria" w:hAnsi="Cambria"/>
          <w:i/>
        </w:rPr>
        <w:t>Tenebrio molitor</w:t>
      </w:r>
      <w:r w:rsidRPr="00354ED9">
        <w:rPr>
          <w:rFonts w:ascii="Cambria" w:hAnsi="Cambria"/>
        </w:rPr>
        <w:t xml:space="preserve"> (L.) Tenebrionidae.) with the results of soil C-Organic analysis of 4.93%, silkworm (</w:t>
      </w:r>
      <w:r w:rsidRPr="00354ED9">
        <w:rPr>
          <w:rFonts w:ascii="Cambria" w:hAnsi="Cambria"/>
          <w:i/>
        </w:rPr>
        <w:t>Bombyx mori</w:t>
      </w:r>
      <w:r w:rsidRPr="00354ED9">
        <w:rPr>
          <w:rFonts w:ascii="Cambria" w:hAnsi="Cambria"/>
        </w:rPr>
        <w:t xml:space="preserve"> Linnaeus.) with the results of the analysis of 4.99% and with a mixture of both eugenics caterpillars is the result of analysis of 5.27%. This happens because of the benefits between the role of organic matter that has been perfect so that the carbon formed in Inceptisol soil has increased, and the increasing levels of organic carbon in the soil, the plants will thrive, due to the role of organic carbon levels that increase the availability of nutrients for plants, and will also improve the structure and texture of the soil by organic matter.</w:t>
      </w:r>
    </w:p>
    <w:p w14:paraId="692DFA51" w14:textId="77777777" w:rsidR="000D1257" w:rsidRPr="000D1257" w:rsidRDefault="00000000" w:rsidP="000D1257">
      <w:pPr>
        <w:spacing w:after="0" w:line="240" w:lineRule="auto"/>
        <w:ind w:firstLine="567"/>
        <w:jc w:val="both"/>
        <w:rPr>
          <w:rFonts w:ascii="Cambria" w:hAnsi="Cambria"/>
        </w:rPr>
      </w:pPr>
      <w:r w:rsidRPr="000D1257">
        <w:rPr>
          <w:rFonts w:ascii="Cambria" w:hAnsi="Cambria"/>
        </w:rPr>
        <w:t xml:space="preserve">The cation exchange capacity (CEC) provisions also determine that the CEC results in epigenetic caterpillars: </w:t>
      </w:r>
      <w:r w:rsidRPr="000D1257">
        <w:rPr>
          <w:rFonts w:ascii="Cambria" w:hAnsi="Cambria"/>
          <w:i/>
        </w:rPr>
        <w:t>Tenebrio molitor</w:t>
      </w:r>
      <w:r w:rsidRPr="000D1257">
        <w:rPr>
          <w:rFonts w:ascii="Cambria" w:hAnsi="Cambria"/>
        </w:rPr>
        <w:t xml:space="preserve"> (L.) Tenebrionidae. was 43.78 me.100 g</w:t>
      </w:r>
      <w:r w:rsidRPr="000D1257">
        <w:rPr>
          <w:rFonts w:ascii="Cambria" w:hAnsi="Cambria"/>
          <w:vertAlign w:val="superscript"/>
        </w:rPr>
        <w:t xml:space="preserve">-1 </w:t>
      </w:r>
      <w:r w:rsidRPr="000D1257">
        <w:rPr>
          <w:rFonts w:ascii="Cambria" w:hAnsi="Cambria"/>
        </w:rPr>
        <w:t xml:space="preserve">soil, </w:t>
      </w:r>
      <w:r w:rsidRPr="000D1257">
        <w:rPr>
          <w:rFonts w:ascii="Cambria" w:hAnsi="Cambria"/>
          <w:i/>
        </w:rPr>
        <w:t>Bombyx mori</w:t>
      </w:r>
      <w:r w:rsidRPr="000D1257">
        <w:rPr>
          <w:rFonts w:ascii="Cambria" w:hAnsi="Cambria"/>
        </w:rPr>
        <w:t xml:space="preserve"> Linnaeus. Caterpillar was 45.12 me.100 g</w:t>
      </w:r>
      <w:r w:rsidRPr="000D1257">
        <w:rPr>
          <w:rFonts w:ascii="Cambria" w:hAnsi="Cambria"/>
          <w:vertAlign w:val="superscript"/>
        </w:rPr>
        <w:t>-1</w:t>
      </w:r>
      <w:r w:rsidRPr="000D1257">
        <w:rPr>
          <w:rFonts w:ascii="Cambria" w:hAnsi="Cambria"/>
        </w:rPr>
        <w:t xml:space="preserve"> soil and the mixture of both epigenetic caterpillars was 49.98 me.100 </w:t>
      </w:r>
      <w:r w:rsidRPr="000D1257">
        <w:rPr>
          <w:rFonts w:ascii="Cambria" w:hAnsi="Cambria"/>
        </w:rPr>
        <w:lastRenderedPageBreak/>
        <w:t>g</w:t>
      </w:r>
      <w:r w:rsidRPr="000D1257">
        <w:rPr>
          <w:rFonts w:ascii="Cambria" w:hAnsi="Cambria"/>
          <w:vertAlign w:val="superscript"/>
        </w:rPr>
        <w:t>-1</w:t>
      </w:r>
      <w:r w:rsidRPr="000D1257">
        <w:rPr>
          <w:rFonts w:ascii="Cambria" w:hAnsi="Cambria"/>
        </w:rPr>
        <w:t xml:space="preserve"> soil. This can be a basis that if the provisions in achieving plant success in its growth, must meet the criteria of moderate to high cation exchange capacity (CEC). This also means that the higher the level of CEC in the soil, the soil will be able to trap and be able to provide nutrients in the soil for plants, and this shows that a high or higher CEC (Cation Exchange Capacity) will be able to hold and be able to exchange positive ion cations in the soil such as calcium (Ca), magnesium (Mg), potassium (K), and sodium (Na).</w:t>
      </w:r>
    </w:p>
    <w:p w14:paraId="23E8F362" w14:textId="77777777" w:rsidR="000D1257" w:rsidRPr="00354ED9" w:rsidRDefault="00000000" w:rsidP="000D1257">
      <w:pPr>
        <w:spacing w:after="0" w:line="240" w:lineRule="auto"/>
        <w:ind w:firstLine="567"/>
        <w:jc w:val="both"/>
        <w:rPr>
          <w:rFonts w:ascii="Cambria" w:hAnsi="Cambria"/>
        </w:rPr>
      </w:pPr>
      <w:r w:rsidRPr="000D1257">
        <w:rPr>
          <w:rFonts w:ascii="Cambria" w:hAnsi="Cambria"/>
        </w:rPr>
        <w:t>In soil acidity (pH) analysis, H</w:t>
      </w:r>
      <w:r w:rsidRPr="000D1257">
        <w:rPr>
          <w:rFonts w:ascii="Cambria" w:hAnsi="Cambria"/>
          <w:vertAlign w:val="subscript"/>
        </w:rPr>
        <w:t>2</w:t>
      </w:r>
      <w:r w:rsidRPr="000D1257">
        <w:rPr>
          <w:rFonts w:ascii="Cambria" w:hAnsi="Cambria"/>
        </w:rPr>
        <w:t xml:space="preserve">O has different results, in epigeneitic caterpillars: </w:t>
      </w:r>
      <w:r w:rsidRPr="000D1257">
        <w:rPr>
          <w:rFonts w:ascii="Cambria" w:hAnsi="Cambria"/>
          <w:i/>
        </w:rPr>
        <w:t>Tenebrio molitor</w:t>
      </w:r>
      <w:r w:rsidRPr="000D1257">
        <w:rPr>
          <w:rFonts w:ascii="Cambria" w:hAnsi="Cambria"/>
        </w:rPr>
        <w:t xml:space="preserve"> (L.) Tenebrionidae. with pH 6.9 with neutral criteria, caterpillar </w:t>
      </w:r>
      <w:r w:rsidRPr="000D1257">
        <w:rPr>
          <w:rFonts w:ascii="Cambria" w:hAnsi="Cambria"/>
          <w:i/>
        </w:rPr>
        <w:t>Bombyx mori</w:t>
      </w:r>
      <w:r w:rsidRPr="000D1257">
        <w:rPr>
          <w:rFonts w:ascii="Cambria" w:hAnsi="Cambria"/>
        </w:rPr>
        <w:t xml:space="preserve"> Linnaeus. with pH 7.2 with neutral criteria and a mixture of both epigenetic caterpillars with pH 7.4. This shows that the provision of organic matter needed by the soil will make the soil acidity level experience a mildly acidic to neutral condition. The provision of epigenetic fluid from the caterpillars </w:t>
      </w:r>
      <w:r w:rsidRPr="000D1257">
        <w:rPr>
          <w:rFonts w:ascii="Cambria" w:hAnsi="Cambria"/>
          <w:i/>
        </w:rPr>
        <w:t>Tenebrio molitor</w:t>
      </w:r>
      <w:r w:rsidRPr="000D1257">
        <w:rPr>
          <w:rFonts w:ascii="Cambria" w:hAnsi="Cambria"/>
        </w:rPr>
        <w:t xml:space="preserve"> (L.) Tenebrionidae. and </w:t>
      </w:r>
      <w:r w:rsidRPr="000D1257">
        <w:rPr>
          <w:rFonts w:ascii="Cambria" w:hAnsi="Cambria"/>
          <w:i/>
        </w:rPr>
        <w:t>Bombyx mori</w:t>
      </w:r>
      <w:r w:rsidRPr="000D1257">
        <w:rPr>
          <w:rFonts w:ascii="Cambria" w:hAnsi="Cambria"/>
        </w:rPr>
        <w:t xml:space="preserve"> Linnaeus. can help keep the soil in neutral or near neutral conditions on soil acidity.</w:t>
      </w:r>
    </w:p>
    <w:p w14:paraId="3ACDB70A" w14:textId="77777777" w:rsidR="00AF55DF" w:rsidRPr="00354ED9" w:rsidRDefault="00AF55DF" w:rsidP="000D1257">
      <w:pPr>
        <w:spacing w:after="0" w:line="240" w:lineRule="auto"/>
        <w:ind w:firstLine="567"/>
        <w:jc w:val="both"/>
        <w:rPr>
          <w:rFonts w:ascii="Cambria" w:hAnsi="Cambria"/>
        </w:rPr>
      </w:pPr>
    </w:p>
    <w:p w14:paraId="00F3DC91" w14:textId="77777777" w:rsidR="00E26843" w:rsidRPr="00E26843" w:rsidRDefault="00000000" w:rsidP="00E26843">
      <w:pPr>
        <w:numPr>
          <w:ilvl w:val="0"/>
          <w:numId w:val="8"/>
        </w:numPr>
        <w:spacing w:after="0" w:line="240" w:lineRule="auto"/>
        <w:ind w:left="993" w:hanging="426"/>
        <w:jc w:val="both"/>
        <w:rPr>
          <w:rFonts w:ascii="Cambria" w:hAnsi="Cambria"/>
          <w:b/>
          <w:i/>
        </w:rPr>
      </w:pPr>
      <w:r w:rsidRPr="00E26843">
        <w:rPr>
          <w:rFonts w:ascii="Cambria" w:hAnsi="Cambria"/>
          <w:b/>
          <w:i/>
        </w:rPr>
        <w:t>Final Soil Analysis 2 – Inceptisol Soil</w:t>
      </w:r>
    </w:p>
    <w:p w14:paraId="266169AA" w14:textId="77777777" w:rsidR="00E26843" w:rsidRPr="00E26843" w:rsidRDefault="00000000" w:rsidP="00E26843">
      <w:pPr>
        <w:spacing w:after="0" w:line="240" w:lineRule="auto"/>
        <w:ind w:firstLine="567"/>
        <w:jc w:val="both"/>
        <w:rPr>
          <w:rFonts w:ascii="Cambria" w:hAnsi="Cambria"/>
        </w:rPr>
      </w:pPr>
      <w:r w:rsidRPr="00E26843">
        <w:rPr>
          <w:rFonts w:ascii="Cambria" w:hAnsi="Cambria"/>
        </w:rPr>
        <w:t>To determine the characteristics of planting media in Inceptisol Soil, a final analysis of the quality and fertility of Inceptisol soil that has been applied is conducted. The following Table 3 lists the results of the final soil analysis on Inceptisol soil as follows:</w:t>
      </w:r>
    </w:p>
    <w:p w14:paraId="021F6113" w14:textId="77777777" w:rsidR="00E26843" w:rsidRPr="00E26843" w:rsidRDefault="00E26843" w:rsidP="00E26843">
      <w:pPr>
        <w:spacing w:after="0" w:line="240" w:lineRule="auto"/>
        <w:ind w:firstLine="567"/>
        <w:jc w:val="both"/>
        <w:rPr>
          <w:rFonts w:ascii="Cambria" w:hAnsi="Cambria"/>
        </w:rPr>
      </w:pPr>
    </w:p>
    <w:p w14:paraId="08DBCB5E" w14:textId="77777777" w:rsidR="00E26843" w:rsidRPr="00354ED9" w:rsidRDefault="00000000" w:rsidP="004A1ED2">
      <w:pPr>
        <w:spacing w:after="0" w:line="240" w:lineRule="auto"/>
        <w:ind w:firstLine="567"/>
        <w:jc w:val="center"/>
        <w:rPr>
          <w:rFonts w:ascii="Cambria" w:hAnsi="Cambria"/>
          <w:b/>
          <w:bCs/>
        </w:rPr>
      </w:pPr>
      <w:r w:rsidRPr="00E26843">
        <w:rPr>
          <w:rFonts w:ascii="Cambria" w:hAnsi="Cambria"/>
          <w:b/>
          <w:bCs/>
        </w:rPr>
        <w:t>Table 3. Final Analysis Results – Inceptisol Soil</w:t>
      </w:r>
    </w:p>
    <w:tbl>
      <w:tblPr>
        <w:tblW w:w="9066" w:type="dxa"/>
        <w:jc w:val="center"/>
        <w:tblBorders>
          <w:top w:val="single" w:sz="4" w:space="0" w:color="auto"/>
          <w:bottom w:val="single" w:sz="4" w:space="0" w:color="auto"/>
        </w:tblBorders>
        <w:tblLook w:val="04A0" w:firstRow="1" w:lastRow="0" w:firstColumn="1" w:lastColumn="0" w:noHBand="0" w:noVBand="1"/>
      </w:tblPr>
      <w:tblGrid>
        <w:gridCol w:w="3949"/>
        <w:gridCol w:w="1401"/>
        <w:gridCol w:w="1939"/>
        <w:gridCol w:w="1777"/>
      </w:tblGrid>
      <w:tr w:rsidR="00F5454C" w14:paraId="36C66E08" w14:textId="77777777" w:rsidTr="00A7677C">
        <w:trPr>
          <w:trHeight w:val="333"/>
          <w:jc w:val="center"/>
        </w:trPr>
        <w:tc>
          <w:tcPr>
            <w:tcW w:w="3949" w:type="dxa"/>
            <w:vMerge w:val="restart"/>
            <w:tcBorders>
              <w:top w:val="single" w:sz="4" w:space="0" w:color="auto"/>
              <w:bottom w:val="single" w:sz="4" w:space="0" w:color="auto"/>
            </w:tcBorders>
            <w:vAlign w:val="center"/>
            <w:hideMark/>
          </w:tcPr>
          <w:p w14:paraId="73158C7C"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sz w:val="20"/>
                <w:szCs w:val="20"/>
              </w:rPr>
              <w:t>Caterpillar Epigenetics</w:t>
            </w:r>
          </w:p>
        </w:tc>
        <w:tc>
          <w:tcPr>
            <w:tcW w:w="1401" w:type="dxa"/>
            <w:tcBorders>
              <w:top w:val="single" w:sz="4" w:space="0" w:color="auto"/>
              <w:bottom w:val="single" w:sz="4" w:space="0" w:color="auto"/>
            </w:tcBorders>
            <w:noWrap/>
            <w:vAlign w:val="center"/>
            <w:hideMark/>
          </w:tcPr>
          <w:p w14:paraId="1CBB5422"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sz w:val="20"/>
                <w:szCs w:val="20"/>
              </w:rPr>
              <w:t>N-Total</w:t>
            </w:r>
          </w:p>
        </w:tc>
        <w:tc>
          <w:tcPr>
            <w:tcW w:w="1939" w:type="dxa"/>
            <w:tcBorders>
              <w:top w:val="single" w:sz="4" w:space="0" w:color="auto"/>
              <w:bottom w:val="single" w:sz="4" w:space="0" w:color="auto"/>
            </w:tcBorders>
            <w:noWrap/>
            <w:vAlign w:val="center"/>
            <w:hideMark/>
          </w:tcPr>
          <w:p w14:paraId="59975C44" w14:textId="77777777" w:rsidR="00A7677C" w:rsidRPr="00A7677C" w:rsidRDefault="00000000" w:rsidP="00A7677C">
            <w:pPr>
              <w:spacing w:after="0" w:line="240" w:lineRule="auto"/>
              <w:ind w:firstLine="567"/>
              <w:jc w:val="both"/>
              <w:rPr>
                <w:rFonts w:ascii="Cambria" w:hAnsi="Cambria"/>
                <w:sz w:val="20"/>
                <w:szCs w:val="20"/>
                <w:lang w:val="pt-BR"/>
              </w:rPr>
            </w:pPr>
            <w:r w:rsidRPr="00A7677C">
              <w:rPr>
                <w:rFonts w:ascii="Cambria" w:hAnsi="Cambria"/>
                <w:sz w:val="20"/>
                <w:szCs w:val="20"/>
                <w:lang w:val="pt-BR"/>
              </w:rPr>
              <w:t>P</w:t>
            </w:r>
            <w:r w:rsidRPr="00A7677C">
              <w:rPr>
                <w:rFonts w:ascii="Cambria" w:hAnsi="Cambria"/>
                <w:sz w:val="20"/>
                <w:szCs w:val="20"/>
                <w:vertAlign w:val="subscript"/>
                <w:lang w:val="pt-BR"/>
              </w:rPr>
              <w:t>2</w:t>
            </w:r>
            <w:r w:rsidRPr="00A7677C">
              <w:rPr>
                <w:rFonts w:ascii="Cambria" w:hAnsi="Cambria"/>
                <w:sz w:val="20"/>
                <w:szCs w:val="20"/>
                <w:lang w:val="pt-BR"/>
              </w:rPr>
              <w:t>O</w:t>
            </w:r>
            <w:r w:rsidRPr="00A7677C">
              <w:rPr>
                <w:rFonts w:ascii="Cambria" w:hAnsi="Cambria"/>
                <w:sz w:val="20"/>
                <w:szCs w:val="20"/>
                <w:vertAlign w:val="subscript"/>
                <w:lang w:val="pt-BR"/>
              </w:rPr>
              <w:t>5</w:t>
            </w:r>
            <w:r w:rsidRPr="00A7677C">
              <w:rPr>
                <w:rFonts w:ascii="Cambria" w:hAnsi="Cambria"/>
                <w:sz w:val="20"/>
                <w:szCs w:val="20"/>
                <w:lang w:val="pt-BR"/>
              </w:rPr>
              <w:t xml:space="preserve">-avl </w:t>
            </w:r>
          </w:p>
          <w:p w14:paraId="1EBB7439" w14:textId="77777777" w:rsidR="00A7677C" w:rsidRPr="00A7677C" w:rsidRDefault="00000000" w:rsidP="00A7677C">
            <w:pPr>
              <w:spacing w:after="0" w:line="240" w:lineRule="auto"/>
              <w:ind w:firstLine="567"/>
              <w:jc w:val="both"/>
              <w:rPr>
                <w:rFonts w:ascii="Cambria" w:hAnsi="Cambria"/>
                <w:sz w:val="20"/>
                <w:szCs w:val="20"/>
                <w:lang w:val="pt-BR"/>
              </w:rPr>
            </w:pPr>
            <w:r w:rsidRPr="00A7677C">
              <w:rPr>
                <w:rFonts w:ascii="Cambria" w:hAnsi="Cambria"/>
                <w:sz w:val="20"/>
                <w:szCs w:val="20"/>
                <w:lang w:val="pt-BR"/>
              </w:rPr>
              <w:t>(P-Bray-I)</w:t>
            </w:r>
          </w:p>
        </w:tc>
        <w:tc>
          <w:tcPr>
            <w:tcW w:w="1777" w:type="dxa"/>
            <w:tcBorders>
              <w:top w:val="single" w:sz="4" w:space="0" w:color="auto"/>
              <w:bottom w:val="single" w:sz="4" w:space="0" w:color="auto"/>
            </w:tcBorders>
            <w:noWrap/>
            <w:vAlign w:val="center"/>
            <w:hideMark/>
          </w:tcPr>
          <w:p w14:paraId="1866682E"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sz w:val="20"/>
                <w:szCs w:val="20"/>
              </w:rPr>
              <w:t>K</w:t>
            </w:r>
            <w:r w:rsidRPr="00A7677C">
              <w:rPr>
                <w:rFonts w:ascii="Cambria" w:hAnsi="Cambria"/>
                <w:sz w:val="20"/>
                <w:szCs w:val="20"/>
                <w:vertAlign w:val="subscript"/>
              </w:rPr>
              <w:t>2</w:t>
            </w:r>
            <w:r w:rsidRPr="00A7677C">
              <w:rPr>
                <w:rFonts w:ascii="Cambria" w:hAnsi="Cambria"/>
                <w:sz w:val="20"/>
                <w:szCs w:val="20"/>
              </w:rPr>
              <w:t xml:space="preserve">O Ex. </w:t>
            </w:r>
          </w:p>
          <w:p w14:paraId="2BB76C67"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sz w:val="20"/>
                <w:szCs w:val="20"/>
              </w:rPr>
              <w:t>HCl 25%</w:t>
            </w:r>
          </w:p>
        </w:tc>
      </w:tr>
      <w:tr w:rsidR="00F5454C" w14:paraId="744F3026" w14:textId="77777777" w:rsidTr="00A7677C">
        <w:trPr>
          <w:trHeight w:val="333"/>
          <w:jc w:val="center"/>
        </w:trPr>
        <w:tc>
          <w:tcPr>
            <w:tcW w:w="3949" w:type="dxa"/>
            <w:vMerge/>
            <w:tcBorders>
              <w:top w:val="single" w:sz="4" w:space="0" w:color="auto"/>
              <w:bottom w:val="single" w:sz="4" w:space="0" w:color="auto"/>
            </w:tcBorders>
            <w:vAlign w:val="center"/>
            <w:hideMark/>
          </w:tcPr>
          <w:p w14:paraId="7577EEBD" w14:textId="77777777" w:rsidR="00A7677C" w:rsidRPr="00A7677C" w:rsidRDefault="00A7677C" w:rsidP="00A7677C">
            <w:pPr>
              <w:spacing w:after="0" w:line="240" w:lineRule="auto"/>
              <w:ind w:firstLine="567"/>
              <w:jc w:val="both"/>
              <w:rPr>
                <w:rFonts w:ascii="Cambria" w:hAnsi="Cambria"/>
                <w:sz w:val="20"/>
                <w:szCs w:val="20"/>
              </w:rPr>
            </w:pPr>
          </w:p>
        </w:tc>
        <w:tc>
          <w:tcPr>
            <w:tcW w:w="1401" w:type="dxa"/>
            <w:tcBorders>
              <w:top w:val="single" w:sz="4" w:space="0" w:color="auto"/>
              <w:bottom w:val="single" w:sz="4" w:space="0" w:color="auto"/>
            </w:tcBorders>
            <w:noWrap/>
            <w:vAlign w:val="center"/>
            <w:hideMark/>
          </w:tcPr>
          <w:p w14:paraId="150EAD97"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sz w:val="20"/>
                <w:szCs w:val="20"/>
              </w:rPr>
              <w:t>%</w:t>
            </w:r>
          </w:p>
        </w:tc>
        <w:tc>
          <w:tcPr>
            <w:tcW w:w="1939" w:type="dxa"/>
            <w:tcBorders>
              <w:top w:val="single" w:sz="4" w:space="0" w:color="auto"/>
              <w:bottom w:val="single" w:sz="4" w:space="0" w:color="auto"/>
            </w:tcBorders>
            <w:noWrap/>
            <w:vAlign w:val="center"/>
            <w:hideMark/>
          </w:tcPr>
          <w:p w14:paraId="6F26471B"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sz w:val="20"/>
                <w:szCs w:val="20"/>
              </w:rPr>
              <w:t>ppm P</w:t>
            </w:r>
          </w:p>
        </w:tc>
        <w:tc>
          <w:tcPr>
            <w:tcW w:w="1777" w:type="dxa"/>
            <w:tcBorders>
              <w:top w:val="single" w:sz="4" w:space="0" w:color="auto"/>
              <w:bottom w:val="single" w:sz="4" w:space="0" w:color="auto"/>
            </w:tcBorders>
            <w:noWrap/>
            <w:vAlign w:val="center"/>
            <w:hideMark/>
          </w:tcPr>
          <w:p w14:paraId="2A82BB10"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sz w:val="20"/>
                <w:szCs w:val="20"/>
              </w:rPr>
              <w:t>me.100 g</w:t>
            </w:r>
            <w:r w:rsidRPr="00A7677C">
              <w:rPr>
                <w:rFonts w:ascii="Cambria" w:hAnsi="Cambria"/>
                <w:sz w:val="20"/>
                <w:szCs w:val="20"/>
                <w:vertAlign w:val="superscript"/>
              </w:rPr>
              <w:t>-1</w:t>
            </w:r>
          </w:p>
        </w:tc>
      </w:tr>
      <w:tr w:rsidR="00F5454C" w14:paraId="7C04A425" w14:textId="77777777" w:rsidTr="00A7677C">
        <w:trPr>
          <w:trHeight w:val="457"/>
          <w:jc w:val="center"/>
        </w:trPr>
        <w:tc>
          <w:tcPr>
            <w:tcW w:w="3949" w:type="dxa"/>
            <w:tcBorders>
              <w:top w:val="single" w:sz="4" w:space="0" w:color="auto"/>
              <w:bottom w:val="nil"/>
            </w:tcBorders>
            <w:noWrap/>
            <w:vAlign w:val="center"/>
            <w:hideMark/>
          </w:tcPr>
          <w:p w14:paraId="1CF70BC1"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i/>
                <w:sz w:val="20"/>
                <w:szCs w:val="20"/>
              </w:rPr>
              <w:t>Tenebrio molitor</w:t>
            </w:r>
            <w:r w:rsidRPr="00A7677C">
              <w:rPr>
                <w:rFonts w:ascii="Cambria" w:hAnsi="Cambria"/>
                <w:sz w:val="20"/>
                <w:szCs w:val="20"/>
              </w:rPr>
              <w:t xml:space="preserve"> (L.) Tenebrionidae.</w:t>
            </w:r>
          </w:p>
        </w:tc>
        <w:tc>
          <w:tcPr>
            <w:tcW w:w="1401" w:type="dxa"/>
            <w:tcBorders>
              <w:top w:val="single" w:sz="4" w:space="0" w:color="auto"/>
              <w:bottom w:val="nil"/>
            </w:tcBorders>
            <w:vAlign w:val="center"/>
            <w:hideMark/>
          </w:tcPr>
          <w:p w14:paraId="4C8ABEF5"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sz w:val="20"/>
                <w:szCs w:val="20"/>
              </w:rPr>
              <w:t>0,34 m</w:t>
            </w:r>
          </w:p>
        </w:tc>
        <w:tc>
          <w:tcPr>
            <w:tcW w:w="1939" w:type="dxa"/>
            <w:tcBorders>
              <w:top w:val="single" w:sz="4" w:space="0" w:color="auto"/>
              <w:bottom w:val="nil"/>
            </w:tcBorders>
            <w:vAlign w:val="center"/>
            <w:hideMark/>
          </w:tcPr>
          <w:p w14:paraId="01CCA0AA"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sz w:val="20"/>
                <w:szCs w:val="20"/>
              </w:rPr>
              <w:t>8,20 m</w:t>
            </w:r>
          </w:p>
        </w:tc>
        <w:tc>
          <w:tcPr>
            <w:tcW w:w="1777" w:type="dxa"/>
            <w:tcBorders>
              <w:top w:val="single" w:sz="4" w:space="0" w:color="auto"/>
              <w:bottom w:val="nil"/>
            </w:tcBorders>
            <w:vAlign w:val="center"/>
            <w:hideMark/>
          </w:tcPr>
          <w:p w14:paraId="223C3D33"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sz w:val="20"/>
                <w:szCs w:val="20"/>
              </w:rPr>
              <w:t>0,52 m</w:t>
            </w:r>
          </w:p>
        </w:tc>
      </w:tr>
      <w:tr w:rsidR="00F5454C" w14:paraId="08C598D1" w14:textId="77777777" w:rsidTr="00A7677C">
        <w:trPr>
          <w:trHeight w:val="572"/>
          <w:jc w:val="center"/>
        </w:trPr>
        <w:tc>
          <w:tcPr>
            <w:tcW w:w="3949" w:type="dxa"/>
            <w:tcBorders>
              <w:top w:val="nil"/>
            </w:tcBorders>
            <w:noWrap/>
            <w:vAlign w:val="center"/>
            <w:hideMark/>
          </w:tcPr>
          <w:p w14:paraId="591A0F62"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i/>
                <w:sz w:val="20"/>
                <w:szCs w:val="20"/>
              </w:rPr>
              <w:t>Bombyx mori</w:t>
            </w:r>
            <w:r w:rsidRPr="00A7677C">
              <w:rPr>
                <w:rFonts w:ascii="Cambria" w:hAnsi="Cambria"/>
                <w:sz w:val="20"/>
                <w:szCs w:val="20"/>
              </w:rPr>
              <w:t xml:space="preserve"> Linnaeus.</w:t>
            </w:r>
          </w:p>
        </w:tc>
        <w:tc>
          <w:tcPr>
            <w:tcW w:w="1401" w:type="dxa"/>
            <w:tcBorders>
              <w:top w:val="nil"/>
            </w:tcBorders>
            <w:vAlign w:val="center"/>
            <w:hideMark/>
          </w:tcPr>
          <w:p w14:paraId="57CD0AD3"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sz w:val="20"/>
                <w:szCs w:val="20"/>
              </w:rPr>
              <w:t>0,37 m</w:t>
            </w:r>
          </w:p>
        </w:tc>
        <w:tc>
          <w:tcPr>
            <w:tcW w:w="1939" w:type="dxa"/>
            <w:tcBorders>
              <w:top w:val="nil"/>
            </w:tcBorders>
            <w:vAlign w:val="center"/>
            <w:hideMark/>
          </w:tcPr>
          <w:p w14:paraId="702533E4"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sz w:val="20"/>
                <w:szCs w:val="20"/>
              </w:rPr>
              <w:t>8,33 m</w:t>
            </w:r>
          </w:p>
        </w:tc>
        <w:tc>
          <w:tcPr>
            <w:tcW w:w="1777" w:type="dxa"/>
            <w:tcBorders>
              <w:top w:val="nil"/>
            </w:tcBorders>
            <w:vAlign w:val="center"/>
            <w:hideMark/>
          </w:tcPr>
          <w:p w14:paraId="5E44999A"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sz w:val="20"/>
                <w:szCs w:val="20"/>
              </w:rPr>
              <w:t>0,55 m</w:t>
            </w:r>
          </w:p>
        </w:tc>
      </w:tr>
      <w:tr w:rsidR="00F5454C" w14:paraId="79A1CB48" w14:textId="77777777" w:rsidTr="00A7677C">
        <w:trPr>
          <w:trHeight w:val="509"/>
          <w:jc w:val="center"/>
        </w:trPr>
        <w:tc>
          <w:tcPr>
            <w:tcW w:w="3949" w:type="dxa"/>
            <w:vMerge w:val="restart"/>
            <w:vAlign w:val="center"/>
            <w:hideMark/>
          </w:tcPr>
          <w:p w14:paraId="1F8444AC" w14:textId="77777777" w:rsidR="00A7677C" w:rsidRPr="00A7677C" w:rsidRDefault="00000000" w:rsidP="00A7677C">
            <w:pPr>
              <w:spacing w:after="0" w:line="240" w:lineRule="auto"/>
              <w:ind w:firstLine="567"/>
              <w:jc w:val="both"/>
              <w:rPr>
                <w:rFonts w:ascii="Cambria" w:hAnsi="Cambria"/>
                <w:sz w:val="20"/>
                <w:szCs w:val="20"/>
                <w:lang w:val="pt-BR"/>
              </w:rPr>
            </w:pPr>
            <w:r w:rsidRPr="00A7677C">
              <w:rPr>
                <w:rFonts w:ascii="Cambria" w:hAnsi="Cambria"/>
                <w:i/>
                <w:sz w:val="20"/>
                <w:szCs w:val="20"/>
                <w:lang w:val="pt-BR"/>
              </w:rPr>
              <w:t>Tenebrio molitor</w:t>
            </w:r>
            <w:r w:rsidRPr="00A7677C">
              <w:rPr>
                <w:rFonts w:ascii="Cambria" w:hAnsi="Cambria"/>
                <w:sz w:val="20"/>
                <w:szCs w:val="20"/>
                <w:lang w:val="pt-BR"/>
              </w:rPr>
              <w:t xml:space="preserve"> (L.) Tenebrionidae. </w:t>
            </w:r>
          </w:p>
          <w:p w14:paraId="304B3D8C" w14:textId="77777777" w:rsidR="00A7677C" w:rsidRPr="00A7677C" w:rsidRDefault="00000000" w:rsidP="00A7677C">
            <w:pPr>
              <w:spacing w:after="0" w:line="240" w:lineRule="auto"/>
              <w:ind w:firstLine="567"/>
              <w:jc w:val="both"/>
              <w:rPr>
                <w:rFonts w:ascii="Cambria" w:hAnsi="Cambria"/>
                <w:sz w:val="20"/>
                <w:szCs w:val="20"/>
                <w:lang w:val="pt-BR"/>
              </w:rPr>
            </w:pPr>
            <w:r w:rsidRPr="00A7677C">
              <w:rPr>
                <w:rFonts w:ascii="Cambria" w:hAnsi="Cambria"/>
                <w:sz w:val="20"/>
                <w:szCs w:val="20"/>
                <w:lang w:val="pt-BR"/>
              </w:rPr>
              <w:t xml:space="preserve">+ </w:t>
            </w:r>
            <w:r w:rsidRPr="00A7677C">
              <w:rPr>
                <w:rFonts w:ascii="Cambria" w:hAnsi="Cambria"/>
                <w:i/>
                <w:sz w:val="20"/>
                <w:szCs w:val="20"/>
                <w:lang w:val="pt-BR"/>
              </w:rPr>
              <w:t>Bombyx mori</w:t>
            </w:r>
            <w:r w:rsidRPr="00A7677C">
              <w:rPr>
                <w:rFonts w:ascii="Cambria" w:hAnsi="Cambria"/>
                <w:sz w:val="20"/>
                <w:szCs w:val="20"/>
                <w:lang w:val="pt-BR"/>
              </w:rPr>
              <w:t xml:space="preserve"> Linnaeus.</w:t>
            </w:r>
          </w:p>
        </w:tc>
        <w:tc>
          <w:tcPr>
            <w:tcW w:w="1401" w:type="dxa"/>
            <w:vMerge w:val="restart"/>
            <w:vAlign w:val="center"/>
            <w:hideMark/>
          </w:tcPr>
          <w:p w14:paraId="5184ED23"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sz w:val="20"/>
                <w:szCs w:val="20"/>
              </w:rPr>
              <w:t>0,40 m</w:t>
            </w:r>
          </w:p>
        </w:tc>
        <w:tc>
          <w:tcPr>
            <w:tcW w:w="1939" w:type="dxa"/>
            <w:vMerge w:val="restart"/>
            <w:vAlign w:val="center"/>
            <w:hideMark/>
          </w:tcPr>
          <w:p w14:paraId="738A4A47"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sz w:val="20"/>
                <w:szCs w:val="20"/>
              </w:rPr>
              <w:t>9,10 m</w:t>
            </w:r>
          </w:p>
        </w:tc>
        <w:tc>
          <w:tcPr>
            <w:tcW w:w="1777" w:type="dxa"/>
            <w:vMerge w:val="restart"/>
            <w:vAlign w:val="center"/>
            <w:hideMark/>
          </w:tcPr>
          <w:p w14:paraId="1B507B95" w14:textId="77777777" w:rsidR="00A7677C" w:rsidRPr="00A7677C" w:rsidRDefault="00000000" w:rsidP="00A7677C">
            <w:pPr>
              <w:spacing w:after="0" w:line="240" w:lineRule="auto"/>
              <w:ind w:firstLine="567"/>
              <w:jc w:val="both"/>
              <w:rPr>
                <w:rFonts w:ascii="Cambria" w:hAnsi="Cambria"/>
                <w:sz w:val="20"/>
                <w:szCs w:val="20"/>
              </w:rPr>
            </w:pPr>
            <w:r w:rsidRPr="00A7677C">
              <w:rPr>
                <w:rFonts w:ascii="Cambria" w:hAnsi="Cambria"/>
                <w:sz w:val="20"/>
                <w:szCs w:val="20"/>
              </w:rPr>
              <w:t>0,56 m</w:t>
            </w:r>
          </w:p>
        </w:tc>
      </w:tr>
      <w:tr w:rsidR="00F5454C" w14:paraId="475E9915" w14:textId="77777777" w:rsidTr="00A7677C">
        <w:trPr>
          <w:trHeight w:val="509"/>
          <w:jc w:val="center"/>
        </w:trPr>
        <w:tc>
          <w:tcPr>
            <w:tcW w:w="3949" w:type="dxa"/>
            <w:vMerge/>
            <w:vAlign w:val="center"/>
            <w:hideMark/>
          </w:tcPr>
          <w:p w14:paraId="4F008649" w14:textId="77777777" w:rsidR="00A7677C" w:rsidRPr="00A7677C" w:rsidRDefault="00A7677C" w:rsidP="00A7677C">
            <w:pPr>
              <w:spacing w:after="0" w:line="240" w:lineRule="auto"/>
              <w:ind w:firstLine="567"/>
              <w:jc w:val="both"/>
              <w:rPr>
                <w:rFonts w:ascii="Cambria" w:hAnsi="Cambria"/>
                <w:sz w:val="20"/>
                <w:szCs w:val="20"/>
              </w:rPr>
            </w:pPr>
          </w:p>
        </w:tc>
        <w:tc>
          <w:tcPr>
            <w:tcW w:w="1401" w:type="dxa"/>
            <w:vMerge/>
            <w:vAlign w:val="center"/>
            <w:hideMark/>
          </w:tcPr>
          <w:p w14:paraId="622C858B" w14:textId="77777777" w:rsidR="00A7677C" w:rsidRPr="00A7677C" w:rsidRDefault="00A7677C" w:rsidP="00A7677C">
            <w:pPr>
              <w:spacing w:after="0" w:line="240" w:lineRule="auto"/>
              <w:ind w:firstLine="567"/>
              <w:jc w:val="both"/>
              <w:rPr>
                <w:rFonts w:ascii="Cambria" w:hAnsi="Cambria"/>
                <w:sz w:val="20"/>
                <w:szCs w:val="20"/>
              </w:rPr>
            </w:pPr>
          </w:p>
        </w:tc>
        <w:tc>
          <w:tcPr>
            <w:tcW w:w="1939" w:type="dxa"/>
            <w:vMerge/>
            <w:vAlign w:val="center"/>
            <w:hideMark/>
          </w:tcPr>
          <w:p w14:paraId="610C1C55" w14:textId="77777777" w:rsidR="00A7677C" w:rsidRPr="00A7677C" w:rsidRDefault="00A7677C" w:rsidP="00A7677C">
            <w:pPr>
              <w:spacing w:after="0" w:line="240" w:lineRule="auto"/>
              <w:ind w:firstLine="567"/>
              <w:jc w:val="both"/>
              <w:rPr>
                <w:rFonts w:ascii="Cambria" w:hAnsi="Cambria"/>
                <w:sz w:val="20"/>
                <w:szCs w:val="20"/>
              </w:rPr>
            </w:pPr>
          </w:p>
        </w:tc>
        <w:tc>
          <w:tcPr>
            <w:tcW w:w="1777" w:type="dxa"/>
            <w:vMerge/>
            <w:vAlign w:val="center"/>
            <w:hideMark/>
          </w:tcPr>
          <w:p w14:paraId="28A7C5DE" w14:textId="77777777" w:rsidR="00A7677C" w:rsidRPr="00A7677C" w:rsidRDefault="00A7677C" w:rsidP="00A7677C">
            <w:pPr>
              <w:spacing w:after="0" w:line="240" w:lineRule="auto"/>
              <w:ind w:firstLine="567"/>
              <w:jc w:val="both"/>
              <w:rPr>
                <w:rFonts w:ascii="Cambria" w:hAnsi="Cambria"/>
                <w:sz w:val="20"/>
                <w:szCs w:val="20"/>
              </w:rPr>
            </w:pPr>
          </w:p>
        </w:tc>
      </w:tr>
    </w:tbl>
    <w:p w14:paraId="1323A6C1" w14:textId="77777777" w:rsidR="00043E61" w:rsidRPr="00354ED9" w:rsidRDefault="00000000" w:rsidP="00043E61">
      <w:pPr>
        <w:spacing w:after="0" w:line="240" w:lineRule="auto"/>
        <w:jc w:val="both"/>
        <w:rPr>
          <w:rFonts w:ascii="Cambria" w:hAnsi="Cambria" w:cs="Times New Roman"/>
          <w:sz w:val="20"/>
          <w:szCs w:val="20"/>
        </w:rPr>
      </w:pPr>
      <w:r w:rsidRPr="00354ED9">
        <w:rPr>
          <w:rFonts w:ascii="Cambria" w:hAnsi="Cambria" w:cs="Times New Roman"/>
          <w:sz w:val="20"/>
          <w:szCs w:val="20"/>
        </w:rPr>
        <w:t xml:space="preserve">Description: Criteria for Planting Media, h = High, l = Low, m = Medium, sl = Slightly Low, vl = Very Low, </w:t>
      </w:r>
    </w:p>
    <w:p w14:paraId="59C0F1B5" w14:textId="77777777" w:rsidR="00043E61" w:rsidRPr="00354ED9" w:rsidRDefault="00000000" w:rsidP="00043E61">
      <w:pPr>
        <w:spacing w:after="0" w:line="240" w:lineRule="auto"/>
        <w:jc w:val="both"/>
        <w:rPr>
          <w:rFonts w:ascii="Cambria" w:hAnsi="Cambria" w:cs="Times New Roman"/>
          <w:sz w:val="20"/>
          <w:szCs w:val="20"/>
        </w:rPr>
      </w:pPr>
      <w:r w:rsidRPr="00354ED9">
        <w:rPr>
          <w:rFonts w:ascii="Cambria" w:hAnsi="Cambria" w:cs="Times New Roman"/>
          <w:sz w:val="20"/>
          <w:szCs w:val="20"/>
        </w:rPr>
        <w:t xml:space="preserve">                      vh = Very High, n = Neutral, nm = Not Measurable</w:t>
      </w:r>
    </w:p>
    <w:p w14:paraId="5A05A46A" w14:textId="77777777" w:rsidR="00D52BEA" w:rsidRPr="00354ED9" w:rsidRDefault="00D52BEA" w:rsidP="00D52BEA">
      <w:pPr>
        <w:spacing w:after="0" w:line="240" w:lineRule="auto"/>
        <w:jc w:val="both"/>
        <w:rPr>
          <w:rFonts w:ascii="Cambria" w:hAnsi="Cambria"/>
        </w:rPr>
      </w:pPr>
    </w:p>
    <w:p w14:paraId="2581536C" w14:textId="77777777" w:rsidR="000B5F50" w:rsidRPr="00354ED9" w:rsidRDefault="00000000" w:rsidP="000B5F50">
      <w:pPr>
        <w:spacing w:after="0" w:line="240" w:lineRule="auto"/>
        <w:ind w:firstLine="567"/>
        <w:jc w:val="both"/>
        <w:rPr>
          <w:rFonts w:ascii="Cambria" w:hAnsi="Cambria"/>
        </w:rPr>
      </w:pPr>
      <w:r w:rsidRPr="00354ED9">
        <w:rPr>
          <w:rFonts w:ascii="Cambria" w:hAnsi="Cambria"/>
        </w:rPr>
        <w:t xml:space="preserve">The results of soil analysis are shown in Table 3. The results of the analysis on total nitrogen (N-Total) in the soil showed the provision of genetic liquid and epigenetic caterpillars and epigenetic caterpillar frass, namely the </w:t>
      </w:r>
      <w:r w:rsidRPr="00354ED9">
        <w:rPr>
          <w:rFonts w:ascii="Cambria" w:hAnsi="Cambria"/>
          <w:i/>
        </w:rPr>
        <w:t>Tenebrio molitor</w:t>
      </w:r>
      <w:r w:rsidRPr="00354ED9">
        <w:rPr>
          <w:rFonts w:ascii="Cambria" w:hAnsi="Cambria"/>
        </w:rPr>
        <w:t xml:space="preserve"> (L.) Tenebrionidae caterpillar. and </w:t>
      </w:r>
      <w:r w:rsidRPr="00354ED9">
        <w:rPr>
          <w:rFonts w:ascii="Cambria" w:hAnsi="Cambria"/>
          <w:i/>
        </w:rPr>
        <w:t>Bombyx mori</w:t>
      </w:r>
      <w:r w:rsidRPr="00354ED9">
        <w:rPr>
          <w:rFonts w:ascii="Cambria" w:hAnsi="Cambria"/>
        </w:rPr>
        <w:t xml:space="preserve"> Linnaeus caterpillar. on the results of N-Total analysis on the </w:t>
      </w:r>
      <w:r w:rsidRPr="00354ED9">
        <w:rPr>
          <w:rFonts w:ascii="Cambria" w:hAnsi="Cambria"/>
          <w:i/>
        </w:rPr>
        <w:t>Tenebrio molitor</w:t>
      </w:r>
      <w:r w:rsidRPr="00354ED9">
        <w:rPr>
          <w:rFonts w:ascii="Cambria" w:hAnsi="Cambria"/>
        </w:rPr>
        <w:t xml:space="preserve"> (L.) Tenebrionidae caterpillar. showed a result of 0.34% with moderate criteria. Likewise with the caterpillar </w:t>
      </w:r>
      <w:r w:rsidRPr="00354ED9">
        <w:rPr>
          <w:rFonts w:ascii="Cambria" w:hAnsi="Cambria"/>
          <w:i/>
        </w:rPr>
        <w:t>Bombyx mori</w:t>
      </w:r>
      <w:r w:rsidRPr="00354ED9">
        <w:rPr>
          <w:rFonts w:ascii="Cambria" w:hAnsi="Cambria"/>
        </w:rPr>
        <w:t xml:space="preserve"> Linnaeus. Showed a result of 0.37% with moderate criteria. However, it differs from the mixture of the two epigenetic caterpillars, where the result is 0.40% with moderate criteria. This states that the soil's total nitrogen content, which was originally low, is now medium and can be accepted by the soil and plants. It is also said that the provision of liquid organic matter of epigenetic caterpillars: caterpillar </w:t>
      </w:r>
      <w:r w:rsidRPr="00354ED9">
        <w:rPr>
          <w:rFonts w:ascii="Cambria" w:hAnsi="Cambria"/>
          <w:i/>
        </w:rPr>
        <w:t>Tenebrio molitor</w:t>
      </w:r>
      <w:r w:rsidRPr="00354ED9">
        <w:rPr>
          <w:rFonts w:ascii="Cambria" w:hAnsi="Cambria"/>
        </w:rPr>
        <w:t xml:space="preserve"> L. and caterpillar </w:t>
      </w:r>
      <w:r w:rsidRPr="00354ED9">
        <w:rPr>
          <w:rFonts w:ascii="Cambria" w:hAnsi="Cambria"/>
          <w:i/>
        </w:rPr>
        <w:t>Bombyx mori</w:t>
      </w:r>
      <w:r w:rsidRPr="00354ED9">
        <w:rPr>
          <w:rFonts w:ascii="Cambria" w:hAnsi="Cambria"/>
        </w:rPr>
        <w:t xml:space="preserve"> Linnaeus. It can add nitrogen to the soil so that it can be needed by </w:t>
      </w:r>
      <w:r w:rsidRPr="00354ED9">
        <w:rPr>
          <w:rFonts w:ascii="Cambria" w:hAnsi="Cambria"/>
          <w:i/>
        </w:rPr>
        <w:t>Capsicum frutescens</w:t>
      </w:r>
      <w:r w:rsidRPr="00354ED9">
        <w:rPr>
          <w:rFonts w:ascii="Cambria" w:hAnsi="Cambria"/>
        </w:rPr>
        <w:t xml:space="preserve"> 'Bird's Eye' plants. The results also show that with the soil analysis results, total nitrogen content (N-Total) is better and good for plant growth than high analysis results. This is because if the analysis is high, it can cause plants to grow more than desired; the leaves are easily broken, brittle, and susceptible to disease.</w:t>
      </w:r>
    </w:p>
    <w:p w14:paraId="6D6A12B3" w14:textId="77777777" w:rsidR="000B5F50" w:rsidRPr="000B5F50" w:rsidRDefault="00000000" w:rsidP="000B5F50">
      <w:pPr>
        <w:spacing w:after="0" w:line="240" w:lineRule="auto"/>
        <w:ind w:firstLine="567"/>
        <w:jc w:val="both"/>
        <w:rPr>
          <w:rFonts w:ascii="Cambria" w:hAnsi="Cambria"/>
        </w:rPr>
      </w:pPr>
      <w:r w:rsidRPr="000B5F50">
        <w:rPr>
          <w:rFonts w:ascii="Cambria" w:hAnsi="Cambria"/>
        </w:rPr>
        <w:t xml:space="preserve">In the results of phosphorus analysis, the application of the caterpillar </w:t>
      </w:r>
      <w:r w:rsidRPr="000B5F50">
        <w:rPr>
          <w:rFonts w:ascii="Cambria" w:hAnsi="Cambria"/>
          <w:i/>
        </w:rPr>
        <w:t>Tenebrio molitor</w:t>
      </w:r>
      <w:r w:rsidRPr="000B5F50">
        <w:rPr>
          <w:rFonts w:ascii="Cambria" w:hAnsi="Cambria"/>
        </w:rPr>
        <w:t xml:space="preserve"> (L.) Tenebrionidae. is 8.20 ppm P with moderate criteria, the caterpillar </w:t>
      </w:r>
      <w:r w:rsidRPr="000B5F50">
        <w:rPr>
          <w:rFonts w:ascii="Cambria" w:hAnsi="Cambria"/>
          <w:i/>
        </w:rPr>
        <w:t>Bombyx mori</w:t>
      </w:r>
      <w:r w:rsidRPr="000B5F50">
        <w:rPr>
          <w:rFonts w:ascii="Cambria" w:hAnsi="Cambria"/>
        </w:rPr>
        <w:t xml:space="preserve"> Linnaeus. is 8.33 ppm P with moderate criteria, and the mixture of the two epigenetic caterpillars is 9.10 ppm P with moderate </w:t>
      </w:r>
      <w:r w:rsidRPr="000B5F50">
        <w:rPr>
          <w:rFonts w:ascii="Cambria" w:hAnsi="Cambria"/>
        </w:rPr>
        <w:lastRenderedPageBreak/>
        <w:t>criteria. This is support for plants in their growth because moderate to high phosphorus conditions will have a positive impact on plants in their growth.</w:t>
      </w:r>
    </w:p>
    <w:p w14:paraId="195C4D46" w14:textId="77777777" w:rsidR="000B5F50" w:rsidRPr="00354ED9" w:rsidRDefault="00000000" w:rsidP="000B5F50">
      <w:pPr>
        <w:spacing w:after="0" w:line="240" w:lineRule="auto"/>
        <w:ind w:firstLine="567"/>
        <w:jc w:val="both"/>
        <w:rPr>
          <w:rFonts w:ascii="Cambria" w:hAnsi="Cambria"/>
        </w:rPr>
      </w:pPr>
      <w:r w:rsidRPr="000B5F50">
        <w:rPr>
          <w:rFonts w:ascii="Cambria" w:hAnsi="Cambria"/>
        </w:rPr>
        <w:t xml:space="preserve">In the final result of the potassium analysis, it can be seen that the soil potassium level the affected by the application of epigenetic caterpillars: </w:t>
      </w:r>
      <w:r w:rsidRPr="000B5F50">
        <w:rPr>
          <w:rFonts w:ascii="Cambria" w:hAnsi="Cambria"/>
          <w:i/>
        </w:rPr>
        <w:t>Tenebrio molitor</w:t>
      </w:r>
      <w:r w:rsidRPr="000B5F50">
        <w:rPr>
          <w:rFonts w:ascii="Cambria" w:hAnsi="Cambria"/>
        </w:rPr>
        <w:t xml:space="preserve"> (L.) Tenebrionidae. and </w:t>
      </w:r>
      <w:r w:rsidRPr="000B5F50">
        <w:rPr>
          <w:rFonts w:ascii="Cambria" w:hAnsi="Cambria"/>
          <w:i/>
        </w:rPr>
        <w:t>Bombyx mori</w:t>
      </w:r>
      <w:r w:rsidRPr="000B5F50">
        <w:rPr>
          <w:rFonts w:ascii="Cambria" w:hAnsi="Cambria"/>
        </w:rPr>
        <w:t xml:space="preserve"> Linnaeus. caterpillars have a significant impact, where at the beginning of the analysis, it appears very low and now becomes moderate. This suggests potassium levels applied to liquid organic matter from epigeneitic caterpillars: </w:t>
      </w:r>
      <w:r w:rsidRPr="000B5F50">
        <w:rPr>
          <w:rFonts w:ascii="Cambria" w:hAnsi="Cambria"/>
          <w:i/>
        </w:rPr>
        <w:t>Tenebrio molitor</w:t>
      </w:r>
      <w:r w:rsidRPr="000B5F50">
        <w:rPr>
          <w:rFonts w:ascii="Cambria" w:hAnsi="Cambria"/>
        </w:rPr>
        <w:t xml:space="preserve"> (L.) Tenebrionidae. and </w:t>
      </w:r>
      <w:r w:rsidRPr="000B5F50">
        <w:rPr>
          <w:rFonts w:ascii="Cambria" w:hAnsi="Cambria"/>
          <w:i/>
        </w:rPr>
        <w:t>Bombyx mori</w:t>
      </w:r>
      <w:r w:rsidRPr="000B5F50">
        <w:rPr>
          <w:rFonts w:ascii="Cambria" w:hAnsi="Cambria"/>
        </w:rPr>
        <w:t xml:space="preserve"> Linnaeus. caterpillars positively impact soil and plant growth of </w:t>
      </w:r>
      <w:r w:rsidRPr="000B5F50">
        <w:rPr>
          <w:rFonts w:ascii="Cambria" w:hAnsi="Cambria"/>
          <w:i/>
        </w:rPr>
        <w:t xml:space="preserve">Capsicum frutescens </w:t>
      </w:r>
      <w:r w:rsidRPr="000B5F50">
        <w:rPr>
          <w:rFonts w:ascii="Cambria" w:hAnsi="Cambria"/>
        </w:rPr>
        <w:t xml:space="preserve">'Bird's Eye'. The application of liquid organic from epigenetic caterpillars: </w:t>
      </w:r>
      <w:r w:rsidRPr="000B5F50">
        <w:rPr>
          <w:rFonts w:ascii="Cambria" w:hAnsi="Cambria"/>
          <w:i/>
        </w:rPr>
        <w:t>Tenebrio molitor</w:t>
      </w:r>
      <w:r w:rsidRPr="000B5F50">
        <w:rPr>
          <w:rFonts w:ascii="Cambria" w:hAnsi="Cambria"/>
        </w:rPr>
        <w:t xml:space="preserve"> (L.) Tenebrionidae. and </w:t>
      </w:r>
      <w:r w:rsidRPr="000B5F50">
        <w:rPr>
          <w:rFonts w:ascii="Cambria" w:hAnsi="Cambria"/>
          <w:i/>
        </w:rPr>
        <w:t>Bombyx mori</w:t>
      </w:r>
      <w:r w:rsidRPr="000B5F50">
        <w:rPr>
          <w:rFonts w:ascii="Cambria" w:hAnsi="Cambria"/>
        </w:rPr>
        <w:t xml:space="preserve"> Linnaeus. caterpillars, which have a high potassium content, make plants increase plant robustness, stimulate plant root growth, make plants susceptible to pests and diseases and overcome water shortages in the growing medium.</w:t>
      </w:r>
    </w:p>
    <w:p w14:paraId="050D2DCE" w14:textId="77777777" w:rsidR="003A0720" w:rsidRPr="00354ED9" w:rsidRDefault="003A0720" w:rsidP="003A0720">
      <w:pPr>
        <w:spacing w:after="0" w:line="240" w:lineRule="auto"/>
        <w:jc w:val="both"/>
        <w:rPr>
          <w:rFonts w:ascii="Cambria" w:hAnsi="Cambria"/>
        </w:rPr>
      </w:pPr>
    </w:p>
    <w:p w14:paraId="65A2F43A" w14:textId="77777777" w:rsidR="003A0720" w:rsidRPr="003A0720" w:rsidRDefault="00000000" w:rsidP="003A0720">
      <w:pPr>
        <w:numPr>
          <w:ilvl w:val="0"/>
          <w:numId w:val="8"/>
        </w:numPr>
        <w:spacing w:after="0" w:line="240" w:lineRule="auto"/>
        <w:jc w:val="both"/>
        <w:rPr>
          <w:rFonts w:ascii="Cambria" w:hAnsi="Cambria"/>
          <w:b/>
          <w:i/>
        </w:rPr>
      </w:pPr>
      <w:r w:rsidRPr="003A0720">
        <w:rPr>
          <w:rFonts w:ascii="Cambria" w:hAnsi="Cambria"/>
          <w:b/>
          <w:i/>
        </w:rPr>
        <w:t>Final Soil Analysis 3 – Inceptisol Soil</w:t>
      </w:r>
    </w:p>
    <w:p w14:paraId="37803E58" w14:textId="77777777" w:rsidR="003A0720" w:rsidRPr="003A0720" w:rsidRDefault="00000000" w:rsidP="003A0720">
      <w:pPr>
        <w:spacing w:after="0" w:line="240" w:lineRule="auto"/>
        <w:ind w:firstLine="284"/>
        <w:jc w:val="both"/>
        <w:rPr>
          <w:rFonts w:ascii="Cambria" w:hAnsi="Cambria"/>
        </w:rPr>
      </w:pPr>
      <w:r w:rsidRPr="003A0720">
        <w:rPr>
          <w:rFonts w:ascii="Cambria" w:hAnsi="Cambria"/>
        </w:rPr>
        <w:t>To determine the characteristics of planting media in Inceptisol Soil, a final analysis of the quality and fertility of Inceptisol soil that has been applied is conducted. The following Table 4 lists the results of the final soil analysis on Inceptisol soil as follows:</w:t>
      </w:r>
    </w:p>
    <w:p w14:paraId="4DE497AD" w14:textId="77777777" w:rsidR="003A0720" w:rsidRPr="003A0720" w:rsidRDefault="00000000" w:rsidP="003A0720">
      <w:pPr>
        <w:spacing w:after="0" w:line="240" w:lineRule="auto"/>
        <w:jc w:val="center"/>
        <w:rPr>
          <w:rFonts w:ascii="Cambria" w:hAnsi="Cambria"/>
          <w:b/>
          <w:bCs/>
        </w:rPr>
      </w:pPr>
      <w:r w:rsidRPr="003A0720">
        <w:rPr>
          <w:rFonts w:ascii="Cambria" w:hAnsi="Cambria"/>
          <w:b/>
          <w:bCs/>
        </w:rPr>
        <w:t>Table 4. Final Analysis Results – Exchangeable Cations in Inceptisol Soil</w:t>
      </w:r>
    </w:p>
    <w:tbl>
      <w:tblPr>
        <w:tblW w:w="9381" w:type="dxa"/>
        <w:jc w:val="center"/>
        <w:tblLook w:val="04A0" w:firstRow="1" w:lastRow="0" w:firstColumn="1" w:lastColumn="0" w:noHBand="0" w:noVBand="1"/>
      </w:tblPr>
      <w:tblGrid>
        <w:gridCol w:w="2142"/>
        <w:gridCol w:w="1183"/>
        <w:gridCol w:w="1190"/>
        <w:gridCol w:w="1220"/>
        <w:gridCol w:w="1242"/>
        <w:gridCol w:w="1244"/>
        <w:gridCol w:w="1160"/>
      </w:tblGrid>
      <w:tr w:rsidR="00F5454C" w14:paraId="10A21AD1" w14:textId="77777777" w:rsidTr="003A0720">
        <w:trPr>
          <w:trHeight w:val="300"/>
          <w:jc w:val="center"/>
        </w:trPr>
        <w:tc>
          <w:tcPr>
            <w:tcW w:w="2142" w:type="dxa"/>
            <w:vMerge w:val="restart"/>
            <w:tcBorders>
              <w:top w:val="single" w:sz="4" w:space="0" w:color="auto"/>
              <w:bottom w:val="single" w:sz="4" w:space="0" w:color="auto"/>
            </w:tcBorders>
            <w:vAlign w:val="center"/>
            <w:hideMark/>
          </w:tcPr>
          <w:p w14:paraId="559B9C4A" w14:textId="77777777" w:rsidR="003A0720" w:rsidRPr="003A0720" w:rsidRDefault="00000000" w:rsidP="003A0720">
            <w:pPr>
              <w:spacing w:after="0" w:line="240" w:lineRule="auto"/>
              <w:jc w:val="both"/>
              <w:rPr>
                <w:rFonts w:ascii="Cambria" w:hAnsi="Cambria"/>
                <w:b/>
                <w:sz w:val="20"/>
                <w:szCs w:val="20"/>
              </w:rPr>
            </w:pPr>
            <w:r w:rsidRPr="003A0720">
              <w:rPr>
                <w:rFonts w:ascii="Cambria" w:hAnsi="Cambria"/>
                <w:b/>
                <w:sz w:val="20"/>
                <w:szCs w:val="20"/>
              </w:rPr>
              <w:t>Caterpillar Epigenetics</w:t>
            </w:r>
          </w:p>
        </w:tc>
        <w:tc>
          <w:tcPr>
            <w:tcW w:w="1183" w:type="dxa"/>
            <w:tcBorders>
              <w:top w:val="single" w:sz="4" w:space="0" w:color="auto"/>
              <w:bottom w:val="single" w:sz="4" w:space="0" w:color="auto"/>
            </w:tcBorders>
            <w:noWrap/>
            <w:vAlign w:val="center"/>
            <w:hideMark/>
          </w:tcPr>
          <w:p w14:paraId="4DC7B7EC" w14:textId="77777777" w:rsidR="003A0720" w:rsidRPr="003A0720" w:rsidRDefault="00000000" w:rsidP="003A0720">
            <w:pPr>
              <w:spacing w:after="0" w:line="240" w:lineRule="auto"/>
              <w:jc w:val="both"/>
              <w:rPr>
                <w:rFonts w:ascii="Cambria" w:hAnsi="Cambria"/>
                <w:b/>
                <w:sz w:val="20"/>
                <w:szCs w:val="20"/>
              </w:rPr>
            </w:pPr>
            <w:r w:rsidRPr="003A0720">
              <w:rPr>
                <w:rFonts w:ascii="Cambria" w:hAnsi="Cambria"/>
                <w:b/>
                <w:sz w:val="20"/>
                <w:szCs w:val="20"/>
              </w:rPr>
              <w:t>Al-dd</w:t>
            </w:r>
          </w:p>
        </w:tc>
        <w:tc>
          <w:tcPr>
            <w:tcW w:w="1190" w:type="dxa"/>
            <w:tcBorders>
              <w:top w:val="single" w:sz="4" w:space="0" w:color="auto"/>
              <w:bottom w:val="single" w:sz="4" w:space="0" w:color="auto"/>
            </w:tcBorders>
            <w:noWrap/>
            <w:vAlign w:val="center"/>
            <w:hideMark/>
          </w:tcPr>
          <w:p w14:paraId="01E7A7F0" w14:textId="77777777" w:rsidR="003A0720" w:rsidRPr="003A0720" w:rsidRDefault="00000000" w:rsidP="003A0720">
            <w:pPr>
              <w:spacing w:after="0" w:line="240" w:lineRule="auto"/>
              <w:jc w:val="both"/>
              <w:rPr>
                <w:rFonts w:ascii="Cambria" w:hAnsi="Cambria"/>
                <w:b/>
                <w:sz w:val="20"/>
                <w:szCs w:val="20"/>
              </w:rPr>
            </w:pPr>
            <w:r w:rsidRPr="003A0720">
              <w:rPr>
                <w:rFonts w:ascii="Cambria" w:hAnsi="Cambria"/>
                <w:b/>
                <w:sz w:val="20"/>
                <w:szCs w:val="20"/>
              </w:rPr>
              <w:t>Al Saturation</w:t>
            </w:r>
          </w:p>
        </w:tc>
        <w:tc>
          <w:tcPr>
            <w:tcW w:w="1220" w:type="dxa"/>
            <w:tcBorders>
              <w:top w:val="single" w:sz="4" w:space="0" w:color="auto"/>
              <w:bottom w:val="single" w:sz="4" w:space="0" w:color="auto"/>
            </w:tcBorders>
            <w:noWrap/>
            <w:vAlign w:val="center"/>
            <w:hideMark/>
          </w:tcPr>
          <w:p w14:paraId="2F225571" w14:textId="77777777" w:rsidR="003A0720" w:rsidRPr="003A0720" w:rsidRDefault="00000000" w:rsidP="003A0720">
            <w:pPr>
              <w:spacing w:after="0" w:line="240" w:lineRule="auto"/>
              <w:jc w:val="both"/>
              <w:rPr>
                <w:rFonts w:ascii="Cambria" w:hAnsi="Cambria"/>
                <w:b/>
                <w:sz w:val="20"/>
                <w:szCs w:val="20"/>
              </w:rPr>
            </w:pPr>
            <w:r w:rsidRPr="003A0720">
              <w:rPr>
                <w:rFonts w:ascii="Cambria" w:hAnsi="Cambria"/>
                <w:b/>
                <w:sz w:val="20"/>
                <w:szCs w:val="20"/>
              </w:rPr>
              <w:t>Ca-dd</w:t>
            </w:r>
          </w:p>
        </w:tc>
        <w:tc>
          <w:tcPr>
            <w:tcW w:w="1242" w:type="dxa"/>
            <w:tcBorders>
              <w:top w:val="single" w:sz="4" w:space="0" w:color="auto"/>
              <w:bottom w:val="single" w:sz="4" w:space="0" w:color="auto"/>
            </w:tcBorders>
            <w:noWrap/>
            <w:vAlign w:val="center"/>
            <w:hideMark/>
          </w:tcPr>
          <w:p w14:paraId="53348CD2" w14:textId="77777777" w:rsidR="003A0720" w:rsidRPr="003A0720" w:rsidRDefault="00000000" w:rsidP="003A0720">
            <w:pPr>
              <w:spacing w:after="0" w:line="240" w:lineRule="auto"/>
              <w:jc w:val="both"/>
              <w:rPr>
                <w:rFonts w:ascii="Cambria" w:hAnsi="Cambria"/>
                <w:b/>
                <w:sz w:val="20"/>
                <w:szCs w:val="20"/>
              </w:rPr>
            </w:pPr>
            <w:r w:rsidRPr="003A0720">
              <w:rPr>
                <w:rFonts w:ascii="Cambria" w:hAnsi="Cambria"/>
                <w:b/>
                <w:sz w:val="20"/>
                <w:szCs w:val="20"/>
              </w:rPr>
              <w:t>K-dd</w:t>
            </w:r>
          </w:p>
        </w:tc>
        <w:tc>
          <w:tcPr>
            <w:tcW w:w="1244" w:type="dxa"/>
            <w:tcBorders>
              <w:top w:val="single" w:sz="4" w:space="0" w:color="auto"/>
              <w:bottom w:val="single" w:sz="4" w:space="0" w:color="auto"/>
            </w:tcBorders>
            <w:noWrap/>
            <w:vAlign w:val="center"/>
            <w:hideMark/>
          </w:tcPr>
          <w:p w14:paraId="220B2AAF" w14:textId="77777777" w:rsidR="003A0720" w:rsidRPr="003A0720" w:rsidRDefault="00000000" w:rsidP="003A0720">
            <w:pPr>
              <w:spacing w:after="0" w:line="240" w:lineRule="auto"/>
              <w:jc w:val="both"/>
              <w:rPr>
                <w:rFonts w:ascii="Cambria" w:hAnsi="Cambria"/>
                <w:b/>
                <w:sz w:val="20"/>
                <w:szCs w:val="20"/>
              </w:rPr>
            </w:pPr>
            <w:r w:rsidRPr="003A0720">
              <w:rPr>
                <w:rFonts w:ascii="Cambria" w:hAnsi="Cambria"/>
                <w:b/>
                <w:sz w:val="20"/>
                <w:szCs w:val="20"/>
              </w:rPr>
              <w:t>Mg-dd</w:t>
            </w:r>
          </w:p>
        </w:tc>
        <w:tc>
          <w:tcPr>
            <w:tcW w:w="1160" w:type="dxa"/>
            <w:tcBorders>
              <w:top w:val="single" w:sz="4" w:space="0" w:color="auto"/>
              <w:bottom w:val="single" w:sz="4" w:space="0" w:color="auto"/>
            </w:tcBorders>
            <w:noWrap/>
            <w:vAlign w:val="center"/>
            <w:hideMark/>
          </w:tcPr>
          <w:p w14:paraId="21713F9C" w14:textId="77777777" w:rsidR="003A0720" w:rsidRPr="003A0720" w:rsidRDefault="00000000" w:rsidP="003A0720">
            <w:pPr>
              <w:spacing w:after="0" w:line="240" w:lineRule="auto"/>
              <w:jc w:val="both"/>
              <w:rPr>
                <w:rFonts w:ascii="Cambria" w:hAnsi="Cambria"/>
                <w:b/>
                <w:sz w:val="20"/>
                <w:szCs w:val="20"/>
              </w:rPr>
            </w:pPr>
            <w:r w:rsidRPr="003A0720">
              <w:rPr>
                <w:rFonts w:ascii="Cambria" w:hAnsi="Cambria"/>
                <w:b/>
                <w:sz w:val="20"/>
                <w:szCs w:val="20"/>
              </w:rPr>
              <w:t>Na-dd</w:t>
            </w:r>
          </w:p>
        </w:tc>
      </w:tr>
      <w:tr w:rsidR="00F5454C" w14:paraId="5F636B08" w14:textId="77777777" w:rsidTr="003A0720">
        <w:trPr>
          <w:trHeight w:val="300"/>
          <w:jc w:val="center"/>
        </w:trPr>
        <w:tc>
          <w:tcPr>
            <w:tcW w:w="2142" w:type="dxa"/>
            <w:vMerge/>
            <w:tcBorders>
              <w:top w:val="single" w:sz="4" w:space="0" w:color="auto"/>
              <w:bottom w:val="single" w:sz="4" w:space="0" w:color="auto"/>
            </w:tcBorders>
            <w:vAlign w:val="center"/>
            <w:hideMark/>
          </w:tcPr>
          <w:p w14:paraId="35EB80EB" w14:textId="77777777" w:rsidR="003A0720" w:rsidRPr="003A0720" w:rsidRDefault="003A0720" w:rsidP="003A0720">
            <w:pPr>
              <w:spacing w:after="0" w:line="240" w:lineRule="auto"/>
              <w:jc w:val="both"/>
              <w:rPr>
                <w:rFonts w:ascii="Cambria" w:hAnsi="Cambria"/>
                <w:b/>
                <w:sz w:val="20"/>
                <w:szCs w:val="20"/>
              </w:rPr>
            </w:pPr>
          </w:p>
        </w:tc>
        <w:tc>
          <w:tcPr>
            <w:tcW w:w="1183" w:type="dxa"/>
            <w:tcBorders>
              <w:top w:val="single" w:sz="4" w:space="0" w:color="auto"/>
              <w:bottom w:val="single" w:sz="4" w:space="0" w:color="auto"/>
            </w:tcBorders>
            <w:noWrap/>
            <w:vAlign w:val="center"/>
            <w:hideMark/>
          </w:tcPr>
          <w:p w14:paraId="26BD8BAB" w14:textId="77777777" w:rsidR="003A0720" w:rsidRPr="003A0720" w:rsidRDefault="00000000" w:rsidP="003A0720">
            <w:pPr>
              <w:spacing w:after="0" w:line="240" w:lineRule="auto"/>
              <w:jc w:val="both"/>
              <w:rPr>
                <w:rFonts w:ascii="Cambria" w:hAnsi="Cambria"/>
                <w:b/>
                <w:sz w:val="20"/>
                <w:szCs w:val="20"/>
              </w:rPr>
            </w:pPr>
            <w:r w:rsidRPr="003A0720">
              <w:rPr>
                <w:rFonts w:ascii="Cambria" w:hAnsi="Cambria"/>
                <w:b/>
                <w:sz w:val="20"/>
                <w:szCs w:val="20"/>
              </w:rPr>
              <w:t>me.100 g</w:t>
            </w:r>
            <w:r w:rsidRPr="003A0720">
              <w:rPr>
                <w:rFonts w:ascii="Cambria" w:hAnsi="Cambria"/>
                <w:b/>
                <w:sz w:val="20"/>
                <w:szCs w:val="20"/>
                <w:vertAlign w:val="superscript"/>
              </w:rPr>
              <w:t>-1</w:t>
            </w:r>
          </w:p>
        </w:tc>
        <w:tc>
          <w:tcPr>
            <w:tcW w:w="1190" w:type="dxa"/>
            <w:tcBorders>
              <w:top w:val="single" w:sz="4" w:space="0" w:color="auto"/>
              <w:bottom w:val="single" w:sz="4" w:space="0" w:color="auto"/>
            </w:tcBorders>
            <w:noWrap/>
            <w:vAlign w:val="center"/>
            <w:hideMark/>
          </w:tcPr>
          <w:p w14:paraId="50A3DFDC" w14:textId="77777777" w:rsidR="003A0720" w:rsidRPr="003A0720" w:rsidRDefault="00000000" w:rsidP="003A0720">
            <w:pPr>
              <w:spacing w:after="0" w:line="240" w:lineRule="auto"/>
              <w:jc w:val="both"/>
              <w:rPr>
                <w:rFonts w:ascii="Cambria" w:hAnsi="Cambria"/>
                <w:b/>
                <w:sz w:val="20"/>
                <w:szCs w:val="20"/>
              </w:rPr>
            </w:pPr>
            <w:r w:rsidRPr="003A0720">
              <w:rPr>
                <w:rFonts w:ascii="Cambria" w:hAnsi="Cambria"/>
                <w:b/>
                <w:sz w:val="20"/>
                <w:szCs w:val="20"/>
              </w:rPr>
              <w:t>%</w:t>
            </w:r>
          </w:p>
        </w:tc>
        <w:tc>
          <w:tcPr>
            <w:tcW w:w="1220" w:type="dxa"/>
            <w:tcBorders>
              <w:top w:val="single" w:sz="4" w:space="0" w:color="auto"/>
              <w:bottom w:val="single" w:sz="4" w:space="0" w:color="auto"/>
            </w:tcBorders>
            <w:noWrap/>
            <w:vAlign w:val="center"/>
            <w:hideMark/>
          </w:tcPr>
          <w:p w14:paraId="39CFD25D" w14:textId="77777777" w:rsidR="003A0720" w:rsidRPr="003A0720" w:rsidRDefault="00000000" w:rsidP="003A0720">
            <w:pPr>
              <w:spacing w:after="0" w:line="240" w:lineRule="auto"/>
              <w:jc w:val="both"/>
              <w:rPr>
                <w:rFonts w:ascii="Cambria" w:hAnsi="Cambria"/>
                <w:b/>
                <w:sz w:val="20"/>
                <w:szCs w:val="20"/>
              </w:rPr>
            </w:pPr>
            <w:r w:rsidRPr="003A0720">
              <w:rPr>
                <w:rFonts w:ascii="Cambria" w:hAnsi="Cambria"/>
                <w:b/>
                <w:sz w:val="20"/>
                <w:szCs w:val="20"/>
              </w:rPr>
              <w:t>me.100 g</w:t>
            </w:r>
            <w:r w:rsidRPr="003A0720">
              <w:rPr>
                <w:rFonts w:ascii="Cambria" w:hAnsi="Cambria"/>
                <w:b/>
                <w:sz w:val="20"/>
                <w:szCs w:val="20"/>
                <w:vertAlign w:val="superscript"/>
              </w:rPr>
              <w:t>-1</w:t>
            </w:r>
          </w:p>
        </w:tc>
        <w:tc>
          <w:tcPr>
            <w:tcW w:w="1242" w:type="dxa"/>
            <w:tcBorders>
              <w:top w:val="single" w:sz="4" w:space="0" w:color="auto"/>
              <w:bottom w:val="single" w:sz="4" w:space="0" w:color="auto"/>
            </w:tcBorders>
            <w:noWrap/>
            <w:vAlign w:val="center"/>
            <w:hideMark/>
          </w:tcPr>
          <w:p w14:paraId="74C612A6" w14:textId="77777777" w:rsidR="003A0720" w:rsidRPr="003A0720" w:rsidRDefault="00000000" w:rsidP="003A0720">
            <w:pPr>
              <w:spacing w:after="0" w:line="240" w:lineRule="auto"/>
              <w:jc w:val="both"/>
              <w:rPr>
                <w:rFonts w:ascii="Cambria" w:hAnsi="Cambria"/>
                <w:b/>
                <w:sz w:val="20"/>
                <w:szCs w:val="20"/>
              </w:rPr>
            </w:pPr>
            <w:r w:rsidRPr="003A0720">
              <w:rPr>
                <w:rFonts w:ascii="Cambria" w:hAnsi="Cambria"/>
                <w:b/>
                <w:sz w:val="20"/>
                <w:szCs w:val="20"/>
              </w:rPr>
              <w:t>me.100 g</w:t>
            </w:r>
            <w:r w:rsidRPr="003A0720">
              <w:rPr>
                <w:rFonts w:ascii="Cambria" w:hAnsi="Cambria"/>
                <w:b/>
                <w:sz w:val="20"/>
                <w:szCs w:val="20"/>
                <w:vertAlign w:val="superscript"/>
              </w:rPr>
              <w:t>-1</w:t>
            </w:r>
          </w:p>
        </w:tc>
        <w:tc>
          <w:tcPr>
            <w:tcW w:w="1244" w:type="dxa"/>
            <w:tcBorders>
              <w:top w:val="single" w:sz="4" w:space="0" w:color="auto"/>
              <w:bottom w:val="single" w:sz="4" w:space="0" w:color="auto"/>
            </w:tcBorders>
            <w:noWrap/>
            <w:vAlign w:val="center"/>
            <w:hideMark/>
          </w:tcPr>
          <w:p w14:paraId="6DC6547A" w14:textId="77777777" w:rsidR="003A0720" w:rsidRPr="003A0720" w:rsidRDefault="00000000" w:rsidP="003A0720">
            <w:pPr>
              <w:spacing w:after="0" w:line="240" w:lineRule="auto"/>
              <w:jc w:val="both"/>
              <w:rPr>
                <w:rFonts w:ascii="Cambria" w:hAnsi="Cambria"/>
                <w:b/>
                <w:sz w:val="20"/>
                <w:szCs w:val="20"/>
              </w:rPr>
            </w:pPr>
            <w:r w:rsidRPr="003A0720">
              <w:rPr>
                <w:rFonts w:ascii="Cambria" w:hAnsi="Cambria"/>
                <w:b/>
                <w:sz w:val="20"/>
                <w:szCs w:val="20"/>
              </w:rPr>
              <w:t>me.100 g</w:t>
            </w:r>
            <w:r w:rsidRPr="003A0720">
              <w:rPr>
                <w:rFonts w:ascii="Cambria" w:hAnsi="Cambria"/>
                <w:b/>
                <w:sz w:val="20"/>
                <w:szCs w:val="20"/>
                <w:vertAlign w:val="superscript"/>
              </w:rPr>
              <w:t>-1</w:t>
            </w:r>
          </w:p>
        </w:tc>
        <w:tc>
          <w:tcPr>
            <w:tcW w:w="1160" w:type="dxa"/>
            <w:tcBorders>
              <w:top w:val="single" w:sz="4" w:space="0" w:color="auto"/>
              <w:bottom w:val="single" w:sz="4" w:space="0" w:color="auto"/>
            </w:tcBorders>
            <w:noWrap/>
            <w:vAlign w:val="center"/>
            <w:hideMark/>
          </w:tcPr>
          <w:p w14:paraId="6CA3B4FE" w14:textId="77777777" w:rsidR="003A0720" w:rsidRPr="003A0720" w:rsidRDefault="00000000" w:rsidP="003A0720">
            <w:pPr>
              <w:spacing w:after="0" w:line="240" w:lineRule="auto"/>
              <w:jc w:val="both"/>
              <w:rPr>
                <w:rFonts w:ascii="Cambria" w:hAnsi="Cambria"/>
                <w:b/>
                <w:sz w:val="20"/>
                <w:szCs w:val="20"/>
              </w:rPr>
            </w:pPr>
            <w:r w:rsidRPr="003A0720">
              <w:rPr>
                <w:rFonts w:ascii="Cambria" w:hAnsi="Cambria"/>
                <w:b/>
                <w:sz w:val="20"/>
                <w:szCs w:val="20"/>
              </w:rPr>
              <w:t>me.100 g</w:t>
            </w:r>
            <w:r w:rsidRPr="003A0720">
              <w:rPr>
                <w:rFonts w:ascii="Cambria" w:hAnsi="Cambria"/>
                <w:b/>
                <w:sz w:val="20"/>
                <w:szCs w:val="20"/>
                <w:vertAlign w:val="superscript"/>
              </w:rPr>
              <w:t>-1</w:t>
            </w:r>
          </w:p>
        </w:tc>
      </w:tr>
      <w:tr w:rsidR="00F5454C" w14:paraId="6FEEF42A" w14:textId="77777777" w:rsidTr="003A0720">
        <w:trPr>
          <w:trHeight w:val="657"/>
          <w:jc w:val="center"/>
        </w:trPr>
        <w:tc>
          <w:tcPr>
            <w:tcW w:w="2142" w:type="dxa"/>
            <w:tcBorders>
              <w:top w:val="single" w:sz="4" w:space="0" w:color="auto"/>
            </w:tcBorders>
            <w:noWrap/>
            <w:vAlign w:val="center"/>
            <w:hideMark/>
          </w:tcPr>
          <w:p w14:paraId="040E0E5E"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i/>
                <w:sz w:val="20"/>
                <w:szCs w:val="20"/>
              </w:rPr>
              <w:t>Tenebrio molitor</w:t>
            </w:r>
            <w:r w:rsidRPr="003A0720">
              <w:rPr>
                <w:rFonts w:ascii="Cambria" w:hAnsi="Cambria"/>
                <w:sz w:val="20"/>
                <w:szCs w:val="20"/>
              </w:rPr>
              <w:t xml:space="preserve"> (L.) Tenebrionidae.</w:t>
            </w:r>
          </w:p>
        </w:tc>
        <w:tc>
          <w:tcPr>
            <w:tcW w:w="1183" w:type="dxa"/>
            <w:tcBorders>
              <w:top w:val="single" w:sz="4" w:space="0" w:color="auto"/>
            </w:tcBorders>
            <w:vAlign w:val="center"/>
            <w:hideMark/>
          </w:tcPr>
          <w:p w14:paraId="2A49D450"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0,0 nm</w:t>
            </w:r>
          </w:p>
        </w:tc>
        <w:tc>
          <w:tcPr>
            <w:tcW w:w="1190" w:type="dxa"/>
            <w:tcBorders>
              <w:top w:val="single" w:sz="4" w:space="0" w:color="auto"/>
            </w:tcBorders>
            <w:vAlign w:val="center"/>
            <w:hideMark/>
          </w:tcPr>
          <w:p w14:paraId="6D62C253"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0,0 nm</w:t>
            </w:r>
          </w:p>
        </w:tc>
        <w:tc>
          <w:tcPr>
            <w:tcW w:w="1220" w:type="dxa"/>
            <w:tcBorders>
              <w:top w:val="single" w:sz="4" w:space="0" w:color="auto"/>
            </w:tcBorders>
            <w:vAlign w:val="center"/>
            <w:hideMark/>
          </w:tcPr>
          <w:p w14:paraId="00C5CC03"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10,12 m</w:t>
            </w:r>
          </w:p>
        </w:tc>
        <w:tc>
          <w:tcPr>
            <w:tcW w:w="1242" w:type="dxa"/>
            <w:tcBorders>
              <w:top w:val="single" w:sz="4" w:space="0" w:color="auto"/>
            </w:tcBorders>
            <w:noWrap/>
            <w:vAlign w:val="center"/>
            <w:hideMark/>
          </w:tcPr>
          <w:p w14:paraId="3F304B42"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0,77 h</w:t>
            </w:r>
          </w:p>
        </w:tc>
        <w:tc>
          <w:tcPr>
            <w:tcW w:w="1244" w:type="dxa"/>
            <w:tcBorders>
              <w:top w:val="single" w:sz="4" w:space="0" w:color="auto"/>
            </w:tcBorders>
            <w:noWrap/>
            <w:vAlign w:val="center"/>
            <w:hideMark/>
          </w:tcPr>
          <w:p w14:paraId="3AC3F759"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2,00 m</w:t>
            </w:r>
          </w:p>
        </w:tc>
        <w:tc>
          <w:tcPr>
            <w:tcW w:w="1160" w:type="dxa"/>
            <w:tcBorders>
              <w:top w:val="single" w:sz="4" w:space="0" w:color="auto"/>
            </w:tcBorders>
            <w:noWrap/>
            <w:vAlign w:val="center"/>
            <w:hideMark/>
          </w:tcPr>
          <w:p w14:paraId="0AF4E482"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0,67 m</w:t>
            </w:r>
          </w:p>
        </w:tc>
      </w:tr>
      <w:tr w:rsidR="00F5454C" w14:paraId="43D132D9" w14:textId="77777777" w:rsidTr="003A0720">
        <w:trPr>
          <w:trHeight w:val="577"/>
          <w:jc w:val="center"/>
        </w:trPr>
        <w:tc>
          <w:tcPr>
            <w:tcW w:w="2142" w:type="dxa"/>
            <w:noWrap/>
            <w:vAlign w:val="center"/>
            <w:hideMark/>
          </w:tcPr>
          <w:p w14:paraId="3D19DE27"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i/>
                <w:sz w:val="20"/>
                <w:szCs w:val="20"/>
              </w:rPr>
              <w:t>Bombyx mori</w:t>
            </w:r>
            <w:r w:rsidRPr="003A0720">
              <w:rPr>
                <w:rFonts w:ascii="Cambria" w:hAnsi="Cambria"/>
                <w:sz w:val="20"/>
                <w:szCs w:val="20"/>
              </w:rPr>
              <w:t xml:space="preserve"> Linnaeus.</w:t>
            </w:r>
          </w:p>
        </w:tc>
        <w:tc>
          <w:tcPr>
            <w:tcW w:w="1183" w:type="dxa"/>
            <w:vAlign w:val="center"/>
            <w:hideMark/>
          </w:tcPr>
          <w:p w14:paraId="246C516A"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0,0 nm</w:t>
            </w:r>
          </w:p>
        </w:tc>
        <w:tc>
          <w:tcPr>
            <w:tcW w:w="1190" w:type="dxa"/>
            <w:vAlign w:val="center"/>
            <w:hideMark/>
          </w:tcPr>
          <w:p w14:paraId="6A7C21C7"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0,0 nm</w:t>
            </w:r>
          </w:p>
        </w:tc>
        <w:tc>
          <w:tcPr>
            <w:tcW w:w="1220" w:type="dxa"/>
            <w:vAlign w:val="center"/>
            <w:hideMark/>
          </w:tcPr>
          <w:p w14:paraId="3728BA11"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10,15 m</w:t>
            </w:r>
          </w:p>
        </w:tc>
        <w:tc>
          <w:tcPr>
            <w:tcW w:w="1242" w:type="dxa"/>
            <w:noWrap/>
            <w:vAlign w:val="center"/>
            <w:hideMark/>
          </w:tcPr>
          <w:p w14:paraId="3076F1CC"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0,79 h</w:t>
            </w:r>
          </w:p>
        </w:tc>
        <w:tc>
          <w:tcPr>
            <w:tcW w:w="1244" w:type="dxa"/>
            <w:noWrap/>
            <w:vAlign w:val="center"/>
            <w:hideMark/>
          </w:tcPr>
          <w:p w14:paraId="5E26EDDC"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2,00 m</w:t>
            </w:r>
          </w:p>
        </w:tc>
        <w:tc>
          <w:tcPr>
            <w:tcW w:w="1160" w:type="dxa"/>
            <w:noWrap/>
            <w:vAlign w:val="center"/>
            <w:hideMark/>
          </w:tcPr>
          <w:p w14:paraId="167FE718"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0,68 m</w:t>
            </w:r>
          </w:p>
        </w:tc>
      </w:tr>
      <w:tr w:rsidR="00F5454C" w14:paraId="54869A98" w14:textId="77777777" w:rsidTr="003A0720">
        <w:trPr>
          <w:trHeight w:val="509"/>
          <w:jc w:val="center"/>
        </w:trPr>
        <w:tc>
          <w:tcPr>
            <w:tcW w:w="2142" w:type="dxa"/>
            <w:vMerge w:val="restart"/>
            <w:vAlign w:val="center"/>
            <w:hideMark/>
          </w:tcPr>
          <w:p w14:paraId="4B989256" w14:textId="77777777" w:rsidR="003A0720" w:rsidRPr="003A0720" w:rsidRDefault="00000000" w:rsidP="003A0720">
            <w:pPr>
              <w:spacing w:after="0" w:line="240" w:lineRule="auto"/>
              <w:jc w:val="both"/>
              <w:rPr>
                <w:rFonts w:ascii="Cambria" w:hAnsi="Cambria"/>
                <w:sz w:val="20"/>
                <w:szCs w:val="20"/>
                <w:lang w:val="pt-BR"/>
              </w:rPr>
            </w:pPr>
            <w:r w:rsidRPr="003A0720">
              <w:rPr>
                <w:rFonts w:ascii="Cambria" w:hAnsi="Cambria"/>
                <w:i/>
                <w:sz w:val="20"/>
                <w:szCs w:val="20"/>
                <w:lang w:val="pt-BR"/>
              </w:rPr>
              <w:t>Tenebrio molitor</w:t>
            </w:r>
            <w:r w:rsidRPr="003A0720">
              <w:rPr>
                <w:rFonts w:ascii="Cambria" w:hAnsi="Cambria"/>
                <w:sz w:val="20"/>
                <w:szCs w:val="20"/>
                <w:lang w:val="pt-BR"/>
              </w:rPr>
              <w:t xml:space="preserve"> (L.) Tenebrionidae. + </w:t>
            </w:r>
            <w:r w:rsidRPr="003A0720">
              <w:rPr>
                <w:rFonts w:ascii="Cambria" w:hAnsi="Cambria"/>
                <w:i/>
                <w:sz w:val="20"/>
                <w:szCs w:val="20"/>
                <w:lang w:val="pt-BR"/>
              </w:rPr>
              <w:t>Bombyx mori</w:t>
            </w:r>
            <w:r w:rsidRPr="003A0720">
              <w:rPr>
                <w:rFonts w:ascii="Cambria" w:hAnsi="Cambria"/>
                <w:sz w:val="20"/>
                <w:szCs w:val="20"/>
                <w:lang w:val="pt-BR"/>
              </w:rPr>
              <w:t xml:space="preserve"> Linnaeus.</w:t>
            </w:r>
          </w:p>
        </w:tc>
        <w:tc>
          <w:tcPr>
            <w:tcW w:w="1183" w:type="dxa"/>
            <w:vMerge w:val="restart"/>
            <w:vAlign w:val="center"/>
            <w:hideMark/>
          </w:tcPr>
          <w:p w14:paraId="3732CF79"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0,0 nm</w:t>
            </w:r>
          </w:p>
        </w:tc>
        <w:tc>
          <w:tcPr>
            <w:tcW w:w="1190" w:type="dxa"/>
            <w:vMerge w:val="restart"/>
            <w:vAlign w:val="center"/>
            <w:hideMark/>
          </w:tcPr>
          <w:p w14:paraId="334E33D1"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0,0 nm</w:t>
            </w:r>
          </w:p>
        </w:tc>
        <w:tc>
          <w:tcPr>
            <w:tcW w:w="1220" w:type="dxa"/>
            <w:vMerge w:val="restart"/>
            <w:vAlign w:val="center"/>
            <w:hideMark/>
          </w:tcPr>
          <w:p w14:paraId="5A26B11D"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10,77 m</w:t>
            </w:r>
          </w:p>
        </w:tc>
        <w:tc>
          <w:tcPr>
            <w:tcW w:w="1242" w:type="dxa"/>
            <w:vMerge w:val="restart"/>
            <w:noWrap/>
            <w:vAlign w:val="center"/>
            <w:hideMark/>
          </w:tcPr>
          <w:p w14:paraId="19659DB9"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0,82 h</w:t>
            </w:r>
          </w:p>
        </w:tc>
        <w:tc>
          <w:tcPr>
            <w:tcW w:w="1244" w:type="dxa"/>
            <w:vMerge w:val="restart"/>
            <w:noWrap/>
            <w:vAlign w:val="center"/>
            <w:hideMark/>
          </w:tcPr>
          <w:p w14:paraId="6A60832B"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2,10 m</w:t>
            </w:r>
          </w:p>
        </w:tc>
        <w:tc>
          <w:tcPr>
            <w:tcW w:w="1160" w:type="dxa"/>
            <w:vMerge w:val="restart"/>
            <w:noWrap/>
            <w:vAlign w:val="center"/>
            <w:hideMark/>
          </w:tcPr>
          <w:p w14:paraId="1394F4F8" w14:textId="77777777" w:rsidR="003A0720" w:rsidRPr="003A0720" w:rsidRDefault="00000000" w:rsidP="003A0720">
            <w:pPr>
              <w:spacing w:after="0" w:line="240" w:lineRule="auto"/>
              <w:jc w:val="both"/>
              <w:rPr>
                <w:rFonts w:ascii="Cambria" w:hAnsi="Cambria"/>
                <w:sz w:val="20"/>
                <w:szCs w:val="20"/>
              </w:rPr>
            </w:pPr>
            <w:r w:rsidRPr="003A0720">
              <w:rPr>
                <w:rFonts w:ascii="Cambria" w:hAnsi="Cambria"/>
                <w:sz w:val="20"/>
                <w:szCs w:val="20"/>
              </w:rPr>
              <w:t>0,72 h</w:t>
            </w:r>
          </w:p>
        </w:tc>
      </w:tr>
      <w:tr w:rsidR="00F5454C" w14:paraId="5561FDF8" w14:textId="77777777" w:rsidTr="003A0720">
        <w:trPr>
          <w:trHeight w:val="509"/>
          <w:jc w:val="center"/>
        </w:trPr>
        <w:tc>
          <w:tcPr>
            <w:tcW w:w="2142" w:type="dxa"/>
            <w:vMerge/>
            <w:tcBorders>
              <w:bottom w:val="single" w:sz="4" w:space="0" w:color="auto"/>
            </w:tcBorders>
            <w:vAlign w:val="center"/>
            <w:hideMark/>
          </w:tcPr>
          <w:p w14:paraId="4AE5A484" w14:textId="77777777" w:rsidR="003A0720" w:rsidRPr="003A0720" w:rsidRDefault="003A0720" w:rsidP="003A0720">
            <w:pPr>
              <w:spacing w:after="0" w:line="240" w:lineRule="auto"/>
              <w:jc w:val="both"/>
              <w:rPr>
                <w:rFonts w:ascii="Cambria" w:hAnsi="Cambria"/>
                <w:sz w:val="20"/>
                <w:szCs w:val="20"/>
              </w:rPr>
            </w:pPr>
          </w:p>
        </w:tc>
        <w:tc>
          <w:tcPr>
            <w:tcW w:w="1183" w:type="dxa"/>
            <w:vMerge/>
            <w:tcBorders>
              <w:bottom w:val="single" w:sz="4" w:space="0" w:color="auto"/>
            </w:tcBorders>
            <w:vAlign w:val="center"/>
            <w:hideMark/>
          </w:tcPr>
          <w:p w14:paraId="66E539FC" w14:textId="77777777" w:rsidR="003A0720" w:rsidRPr="003A0720" w:rsidRDefault="003A0720" w:rsidP="003A0720">
            <w:pPr>
              <w:spacing w:after="0" w:line="240" w:lineRule="auto"/>
              <w:jc w:val="both"/>
              <w:rPr>
                <w:rFonts w:ascii="Cambria" w:hAnsi="Cambria"/>
                <w:sz w:val="20"/>
                <w:szCs w:val="20"/>
              </w:rPr>
            </w:pPr>
          </w:p>
        </w:tc>
        <w:tc>
          <w:tcPr>
            <w:tcW w:w="1190" w:type="dxa"/>
            <w:vMerge/>
            <w:tcBorders>
              <w:bottom w:val="single" w:sz="4" w:space="0" w:color="auto"/>
            </w:tcBorders>
            <w:vAlign w:val="center"/>
            <w:hideMark/>
          </w:tcPr>
          <w:p w14:paraId="02EE772E" w14:textId="77777777" w:rsidR="003A0720" w:rsidRPr="003A0720" w:rsidRDefault="003A0720" w:rsidP="003A0720">
            <w:pPr>
              <w:spacing w:after="0" w:line="240" w:lineRule="auto"/>
              <w:jc w:val="both"/>
              <w:rPr>
                <w:rFonts w:ascii="Cambria" w:hAnsi="Cambria"/>
                <w:sz w:val="20"/>
                <w:szCs w:val="20"/>
              </w:rPr>
            </w:pPr>
          </w:p>
        </w:tc>
        <w:tc>
          <w:tcPr>
            <w:tcW w:w="1220" w:type="dxa"/>
            <w:vMerge/>
            <w:tcBorders>
              <w:bottom w:val="single" w:sz="4" w:space="0" w:color="auto"/>
            </w:tcBorders>
            <w:vAlign w:val="center"/>
            <w:hideMark/>
          </w:tcPr>
          <w:p w14:paraId="115ED224" w14:textId="77777777" w:rsidR="003A0720" w:rsidRPr="003A0720" w:rsidRDefault="003A0720" w:rsidP="003A0720">
            <w:pPr>
              <w:spacing w:after="0" w:line="240" w:lineRule="auto"/>
              <w:jc w:val="both"/>
              <w:rPr>
                <w:rFonts w:ascii="Cambria" w:hAnsi="Cambria"/>
                <w:sz w:val="20"/>
                <w:szCs w:val="20"/>
              </w:rPr>
            </w:pPr>
          </w:p>
        </w:tc>
        <w:tc>
          <w:tcPr>
            <w:tcW w:w="1242" w:type="dxa"/>
            <w:vMerge/>
            <w:tcBorders>
              <w:bottom w:val="single" w:sz="4" w:space="0" w:color="000000"/>
            </w:tcBorders>
            <w:vAlign w:val="center"/>
            <w:hideMark/>
          </w:tcPr>
          <w:p w14:paraId="7DB06BEB" w14:textId="77777777" w:rsidR="003A0720" w:rsidRPr="003A0720" w:rsidRDefault="003A0720" w:rsidP="003A0720">
            <w:pPr>
              <w:spacing w:after="0" w:line="240" w:lineRule="auto"/>
              <w:jc w:val="both"/>
              <w:rPr>
                <w:rFonts w:ascii="Cambria" w:hAnsi="Cambria"/>
                <w:sz w:val="20"/>
                <w:szCs w:val="20"/>
              </w:rPr>
            </w:pPr>
          </w:p>
        </w:tc>
        <w:tc>
          <w:tcPr>
            <w:tcW w:w="1244" w:type="dxa"/>
            <w:vMerge/>
            <w:tcBorders>
              <w:bottom w:val="single" w:sz="4" w:space="0" w:color="000000"/>
            </w:tcBorders>
            <w:vAlign w:val="center"/>
            <w:hideMark/>
          </w:tcPr>
          <w:p w14:paraId="74291A18" w14:textId="77777777" w:rsidR="003A0720" w:rsidRPr="003A0720" w:rsidRDefault="003A0720" w:rsidP="003A0720">
            <w:pPr>
              <w:spacing w:after="0" w:line="240" w:lineRule="auto"/>
              <w:jc w:val="both"/>
              <w:rPr>
                <w:rFonts w:ascii="Cambria" w:hAnsi="Cambria"/>
                <w:sz w:val="20"/>
                <w:szCs w:val="20"/>
              </w:rPr>
            </w:pPr>
          </w:p>
        </w:tc>
        <w:tc>
          <w:tcPr>
            <w:tcW w:w="1160" w:type="dxa"/>
            <w:vMerge/>
            <w:tcBorders>
              <w:bottom w:val="single" w:sz="4" w:space="0" w:color="000000"/>
            </w:tcBorders>
            <w:vAlign w:val="center"/>
            <w:hideMark/>
          </w:tcPr>
          <w:p w14:paraId="67DAF125" w14:textId="77777777" w:rsidR="003A0720" w:rsidRPr="003A0720" w:rsidRDefault="003A0720" w:rsidP="003A0720">
            <w:pPr>
              <w:spacing w:after="0" w:line="240" w:lineRule="auto"/>
              <w:jc w:val="both"/>
              <w:rPr>
                <w:rFonts w:ascii="Cambria" w:hAnsi="Cambria"/>
                <w:sz w:val="20"/>
                <w:szCs w:val="20"/>
              </w:rPr>
            </w:pPr>
          </w:p>
        </w:tc>
      </w:tr>
    </w:tbl>
    <w:p w14:paraId="2B58F1A8" w14:textId="77777777" w:rsidR="003A0720" w:rsidRPr="00354ED9" w:rsidRDefault="00000000" w:rsidP="003A0720">
      <w:pPr>
        <w:spacing w:after="0" w:line="240" w:lineRule="auto"/>
        <w:jc w:val="both"/>
        <w:rPr>
          <w:rFonts w:ascii="Cambria" w:hAnsi="Cambria" w:cs="Times New Roman"/>
          <w:sz w:val="18"/>
          <w:szCs w:val="18"/>
        </w:rPr>
      </w:pPr>
      <w:r w:rsidRPr="00354ED9">
        <w:rPr>
          <w:rFonts w:ascii="Cambria" w:hAnsi="Cambria" w:cs="Times New Roman"/>
          <w:sz w:val="18"/>
          <w:szCs w:val="18"/>
        </w:rPr>
        <w:t xml:space="preserve">Description: Criteria for Planting Media, h = High, l = Low, m = Medium, sl = Slightly Low, vl = Very Low, </w:t>
      </w:r>
    </w:p>
    <w:p w14:paraId="0E3B765A" w14:textId="77777777" w:rsidR="003A0720" w:rsidRPr="00354ED9" w:rsidRDefault="00000000" w:rsidP="003A0720">
      <w:pPr>
        <w:spacing w:after="0" w:line="240" w:lineRule="auto"/>
        <w:jc w:val="both"/>
        <w:rPr>
          <w:rFonts w:ascii="Cambria" w:hAnsi="Cambria" w:cs="Times New Roman"/>
          <w:sz w:val="18"/>
          <w:szCs w:val="18"/>
        </w:rPr>
      </w:pPr>
      <w:r w:rsidRPr="00354ED9">
        <w:rPr>
          <w:rFonts w:ascii="Cambria" w:hAnsi="Cambria" w:cs="Times New Roman"/>
          <w:sz w:val="18"/>
          <w:szCs w:val="18"/>
        </w:rPr>
        <w:t xml:space="preserve">                      vh = Very High, n = Neutral, nm = Not Measurable</w:t>
      </w:r>
    </w:p>
    <w:p w14:paraId="1A3816A4" w14:textId="77777777" w:rsidR="003A0720" w:rsidRPr="000B5F50" w:rsidRDefault="003A0720" w:rsidP="003A0720">
      <w:pPr>
        <w:spacing w:after="0" w:line="240" w:lineRule="auto"/>
        <w:jc w:val="both"/>
        <w:rPr>
          <w:rFonts w:ascii="Cambria" w:hAnsi="Cambria"/>
        </w:rPr>
      </w:pPr>
    </w:p>
    <w:p w14:paraId="74C9510A" w14:textId="77777777" w:rsidR="007E19F6" w:rsidRPr="007E19F6" w:rsidRDefault="00000000" w:rsidP="007E19F6">
      <w:pPr>
        <w:numPr>
          <w:ilvl w:val="0"/>
          <w:numId w:val="7"/>
        </w:numPr>
        <w:spacing w:after="0" w:line="240" w:lineRule="auto"/>
        <w:ind w:left="567" w:hanging="567"/>
        <w:jc w:val="both"/>
        <w:rPr>
          <w:rFonts w:ascii="Cambria" w:hAnsi="Cambria"/>
          <w:b/>
        </w:rPr>
      </w:pPr>
      <w:r w:rsidRPr="007E19F6">
        <w:rPr>
          <w:rFonts w:ascii="Cambria" w:hAnsi="Cambria"/>
          <w:b/>
        </w:rPr>
        <w:t xml:space="preserve">Growth Analysis Results of </w:t>
      </w:r>
      <w:r w:rsidRPr="007E19F6">
        <w:rPr>
          <w:rFonts w:ascii="Cambria" w:hAnsi="Cambria"/>
          <w:b/>
          <w:i/>
        </w:rPr>
        <w:t xml:space="preserve">Capsicum frutescens </w:t>
      </w:r>
      <w:r w:rsidRPr="007E19F6">
        <w:rPr>
          <w:rFonts w:ascii="Cambria" w:hAnsi="Cambria"/>
          <w:b/>
          <w:bCs/>
        </w:rPr>
        <w:t>‘Bird’s Eye’</w:t>
      </w:r>
    </w:p>
    <w:p w14:paraId="6A36E710" w14:textId="77777777" w:rsidR="007E19F6" w:rsidRDefault="00000000" w:rsidP="007E19F6">
      <w:pPr>
        <w:spacing w:after="0" w:line="240" w:lineRule="auto"/>
        <w:ind w:firstLine="567"/>
        <w:jc w:val="both"/>
        <w:rPr>
          <w:rFonts w:ascii="Cambria" w:hAnsi="Cambria"/>
        </w:rPr>
      </w:pPr>
      <w:r w:rsidRPr="007E19F6">
        <w:rPr>
          <w:rFonts w:ascii="Cambria" w:hAnsi="Cambria"/>
        </w:rPr>
        <w:t xml:space="preserve">To see the results of </w:t>
      </w:r>
      <w:r w:rsidRPr="007E19F6">
        <w:rPr>
          <w:rFonts w:ascii="Cambria" w:hAnsi="Cambria"/>
          <w:i/>
        </w:rPr>
        <w:t>Capsicum frutescens</w:t>
      </w:r>
      <w:r w:rsidRPr="007E19F6">
        <w:rPr>
          <w:rFonts w:ascii="Cambria" w:hAnsi="Cambria"/>
        </w:rPr>
        <w:t xml:space="preserve"> ‘Bird's Eye’ plant growth against the application of Epigenetic Caterpillars: Tenebrio molitor (L.) Tenebrionidae. and </w:t>
      </w:r>
      <w:r w:rsidRPr="007E19F6">
        <w:rPr>
          <w:rFonts w:ascii="Cambria" w:hAnsi="Cambria"/>
          <w:i/>
        </w:rPr>
        <w:t>Bombyx mori</w:t>
      </w:r>
      <w:r w:rsidRPr="007E19F6">
        <w:rPr>
          <w:rFonts w:ascii="Cambria" w:hAnsi="Cambria"/>
        </w:rPr>
        <w:t xml:space="preserve"> Linnaeus. then produced in Table 5 as follows:</w:t>
      </w:r>
    </w:p>
    <w:p w14:paraId="574B4985" w14:textId="77777777" w:rsidR="009170C5" w:rsidRDefault="009170C5" w:rsidP="007E19F6">
      <w:pPr>
        <w:spacing w:after="0" w:line="240" w:lineRule="auto"/>
        <w:ind w:firstLine="567"/>
        <w:jc w:val="both"/>
        <w:rPr>
          <w:rFonts w:ascii="Cambria" w:hAnsi="Cambria"/>
        </w:rPr>
      </w:pPr>
    </w:p>
    <w:p w14:paraId="7E50650E" w14:textId="77777777" w:rsidR="009170C5" w:rsidRDefault="009170C5" w:rsidP="007E19F6">
      <w:pPr>
        <w:spacing w:after="0" w:line="240" w:lineRule="auto"/>
        <w:ind w:firstLine="567"/>
        <w:jc w:val="both"/>
        <w:rPr>
          <w:rFonts w:ascii="Cambria" w:hAnsi="Cambria"/>
        </w:rPr>
      </w:pPr>
    </w:p>
    <w:p w14:paraId="6D41BFF2" w14:textId="77777777" w:rsidR="009170C5" w:rsidRDefault="009170C5" w:rsidP="007E19F6">
      <w:pPr>
        <w:spacing w:after="0" w:line="240" w:lineRule="auto"/>
        <w:ind w:firstLine="567"/>
        <w:jc w:val="both"/>
        <w:rPr>
          <w:rFonts w:ascii="Cambria" w:hAnsi="Cambria"/>
        </w:rPr>
      </w:pPr>
    </w:p>
    <w:p w14:paraId="0E6D9C7B" w14:textId="77777777" w:rsidR="009170C5" w:rsidRDefault="009170C5" w:rsidP="007E19F6">
      <w:pPr>
        <w:spacing w:after="0" w:line="240" w:lineRule="auto"/>
        <w:ind w:firstLine="567"/>
        <w:jc w:val="both"/>
        <w:rPr>
          <w:rFonts w:ascii="Cambria" w:hAnsi="Cambria"/>
        </w:rPr>
      </w:pPr>
    </w:p>
    <w:p w14:paraId="1E18CE03" w14:textId="77777777" w:rsidR="009170C5" w:rsidRDefault="009170C5" w:rsidP="007E19F6">
      <w:pPr>
        <w:spacing w:after="0" w:line="240" w:lineRule="auto"/>
        <w:ind w:firstLine="567"/>
        <w:jc w:val="both"/>
        <w:rPr>
          <w:rFonts w:ascii="Cambria" w:hAnsi="Cambria"/>
        </w:rPr>
      </w:pPr>
    </w:p>
    <w:p w14:paraId="38A40CD3" w14:textId="77777777" w:rsidR="009170C5" w:rsidRPr="007E19F6" w:rsidRDefault="009170C5" w:rsidP="007E19F6">
      <w:pPr>
        <w:spacing w:after="0" w:line="240" w:lineRule="auto"/>
        <w:ind w:firstLine="567"/>
        <w:jc w:val="both"/>
        <w:rPr>
          <w:rFonts w:ascii="Cambria" w:hAnsi="Cambria"/>
        </w:rPr>
      </w:pPr>
    </w:p>
    <w:p w14:paraId="088CDC4A" w14:textId="77777777" w:rsidR="007E19F6" w:rsidRDefault="00000000" w:rsidP="007E19F6">
      <w:pPr>
        <w:spacing w:after="0" w:line="240" w:lineRule="auto"/>
        <w:jc w:val="center"/>
        <w:rPr>
          <w:rFonts w:ascii="Cambria" w:hAnsi="Cambria"/>
          <w:b/>
          <w:bCs/>
        </w:rPr>
      </w:pPr>
      <w:r w:rsidRPr="007E19F6">
        <w:rPr>
          <w:rFonts w:ascii="Cambria" w:hAnsi="Cambria"/>
          <w:b/>
          <w:bCs/>
        </w:rPr>
        <w:t xml:space="preserve">Table 5. Growth and Yield of </w:t>
      </w:r>
      <w:r w:rsidRPr="007E19F6">
        <w:rPr>
          <w:rFonts w:ascii="Cambria" w:hAnsi="Cambria"/>
          <w:b/>
          <w:bCs/>
          <w:i/>
        </w:rPr>
        <w:t xml:space="preserve">Capsicum frutescens </w:t>
      </w:r>
      <w:r w:rsidRPr="007E19F6">
        <w:rPr>
          <w:rFonts w:ascii="Cambria" w:hAnsi="Cambria"/>
          <w:b/>
          <w:bCs/>
        </w:rPr>
        <w:t>‘Bird’s Eye’</w:t>
      </w:r>
    </w:p>
    <w:tbl>
      <w:tblPr>
        <w:tblW w:w="9229" w:type="dxa"/>
        <w:jc w:val="center"/>
        <w:tblBorders>
          <w:top w:val="single" w:sz="4" w:space="0" w:color="auto"/>
          <w:bottom w:val="single" w:sz="4" w:space="0" w:color="auto"/>
        </w:tblBorders>
        <w:tblLook w:val="04A0" w:firstRow="1" w:lastRow="0" w:firstColumn="1" w:lastColumn="0" w:noHBand="0" w:noVBand="1"/>
      </w:tblPr>
      <w:tblGrid>
        <w:gridCol w:w="3177"/>
        <w:gridCol w:w="1938"/>
        <w:gridCol w:w="1563"/>
        <w:gridCol w:w="2551"/>
      </w:tblGrid>
      <w:tr w:rsidR="00F5454C" w14:paraId="08F863ED" w14:textId="77777777" w:rsidTr="009170C5">
        <w:trPr>
          <w:trHeight w:val="331"/>
          <w:jc w:val="center"/>
        </w:trPr>
        <w:tc>
          <w:tcPr>
            <w:tcW w:w="3177" w:type="dxa"/>
            <w:vMerge w:val="restart"/>
            <w:tcBorders>
              <w:top w:val="single" w:sz="4" w:space="0" w:color="auto"/>
              <w:bottom w:val="single" w:sz="4" w:space="0" w:color="auto"/>
            </w:tcBorders>
            <w:vAlign w:val="center"/>
            <w:hideMark/>
          </w:tcPr>
          <w:p w14:paraId="1EEBA9FF" w14:textId="77777777" w:rsidR="009170C5" w:rsidRPr="009170C5" w:rsidRDefault="00000000" w:rsidP="0098349D">
            <w:pPr>
              <w:spacing w:after="0" w:line="240" w:lineRule="auto"/>
              <w:jc w:val="center"/>
              <w:rPr>
                <w:rFonts w:ascii="Times New Roman" w:eastAsia="Times New Roman" w:hAnsi="Times New Roman" w:cs="Times New Roman"/>
                <w:b/>
                <w:color w:val="000000"/>
                <w:sz w:val="20"/>
                <w:szCs w:val="20"/>
              </w:rPr>
            </w:pPr>
            <w:r w:rsidRPr="009170C5">
              <w:rPr>
                <w:rFonts w:ascii="Times New Roman" w:eastAsia="Times New Roman" w:hAnsi="Times New Roman" w:cs="Times New Roman"/>
                <w:b/>
                <w:color w:val="000000"/>
                <w:sz w:val="20"/>
                <w:szCs w:val="20"/>
              </w:rPr>
              <w:t>Caterpillar Epigenetics</w:t>
            </w:r>
          </w:p>
        </w:tc>
        <w:tc>
          <w:tcPr>
            <w:tcW w:w="1938" w:type="dxa"/>
            <w:tcBorders>
              <w:top w:val="single" w:sz="4" w:space="0" w:color="auto"/>
              <w:bottom w:val="single" w:sz="4" w:space="0" w:color="auto"/>
            </w:tcBorders>
            <w:noWrap/>
            <w:vAlign w:val="center"/>
            <w:hideMark/>
          </w:tcPr>
          <w:p w14:paraId="51E56E6F" w14:textId="77777777" w:rsidR="009170C5" w:rsidRPr="009170C5" w:rsidRDefault="00000000" w:rsidP="0098349D">
            <w:pPr>
              <w:spacing w:after="0" w:line="240" w:lineRule="auto"/>
              <w:jc w:val="center"/>
              <w:rPr>
                <w:rFonts w:ascii="Times New Roman" w:eastAsia="Times New Roman" w:hAnsi="Times New Roman" w:cs="Times New Roman"/>
                <w:b/>
                <w:color w:val="000000"/>
                <w:sz w:val="20"/>
                <w:szCs w:val="20"/>
              </w:rPr>
            </w:pPr>
            <w:r w:rsidRPr="009170C5">
              <w:rPr>
                <w:rFonts w:ascii="Times New Roman" w:eastAsia="Times New Roman" w:hAnsi="Times New Roman" w:cs="Times New Roman"/>
                <w:b/>
                <w:color w:val="000000"/>
                <w:sz w:val="20"/>
                <w:szCs w:val="20"/>
              </w:rPr>
              <w:t>Plant Height</w:t>
            </w:r>
          </w:p>
        </w:tc>
        <w:tc>
          <w:tcPr>
            <w:tcW w:w="1563" w:type="dxa"/>
            <w:tcBorders>
              <w:top w:val="single" w:sz="4" w:space="0" w:color="auto"/>
              <w:bottom w:val="single" w:sz="4" w:space="0" w:color="auto"/>
            </w:tcBorders>
            <w:noWrap/>
            <w:vAlign w:val="center"/>
            <w:hideMark/>
          </w:tcPr>
          <w:p w14:paraId="69CA6726" w14:textId="77777777" w:rsidR="009170C5" w:rsidRPr="009170C5" w:rsidRDefault="00000000" w:rsidP="0098349D">
            <w:pPr>
              <w:spacing w:after="0" w:line="240" w:lineRule="auto"/>
              <w:jc w:val="center"/>
              <w:rPr>
                <w:rFonts w:ascii="Times New Roman" w:eastAsia="Times New Roman" w:hAnsi="Times New Roman" w:cs="Times New Roman"/>
                <w:b/>
                <w:color w:val="000000"/>
                <w:sz w:val="20"/>
                <w:szCs w:val="20"/>
              </w:rPr>
            </w:pPr>
            <w:r w:rsidRPr="009170C5">
              <w:rPr>
                <w:rFonts w:ascii="Times New Roman" w:eastAsia="Times New Roman" w:hAnsi="Times New Roman" w:cs="Times New Roman"/>
                <w:b/>
                <w:color w:val="000000"/>
                <w:sz w:val="20"/>
                <w:szCs w:val="20"/>
              </w:rPr>
              <w:t>Root Lenght</w:t>
            </w:r>
          </w:p>
        </w:tc>
        <w:tc>
          <w:tcPr>
            <w:tcW w:w="2551" w:type="dxa"/>
            <w:tcBorders>
              <w:top w:val="single" w:sz="4" w:space="0" w:color="auto"/>
              <w:bottom w:val="single" w:sz="4" w:space="0" w:color="auto"/>
            </w:tcBorders>
            <w:noWrap/>
            <w:vAlign w:val="center"/>
            <w:hideMark/>
          </w:tcPr>
          <w:p w14:paraId="14E3F9F2" w14:textId="77777777" w:rsidR="009170C5" w:rsidRPr="009170C5" w:rsidRDefault="00000000" w:rsidP="0098349D">
            <w:pPr>
              <w:spacing w:after="0" w:line="240" w:lineRule="auto"/>
              <w:jc w:val="center"/>
              <w:rPr>
                <w:rFonts w:ascii="Times New Roman" w:eastAsia="Times New Roman" w:hAnsi="Times New Roman" w:cs="Times New Roman"/>
                <w:b/>
                <w:color w:val="000000"/>
                <w:sz w:val="20"/>
                <w:szCs w:val="20"/>
              </w:rPr>
            </w:pPr>
            <w:r w:rsidRPr="009170C5">
              <w:rPr>
                <w:rFonts w:ascii="Times New Roman" w:eastAsia="Times New Roman" w:hAnsi="Times New Roman" w:cs="Times New Roman"/>
                <w:b/>
                <w:color w:val="000000"/>
                <w:sz w:val="20"/>
                <w:szCs w:val="20"/>
              </w:rPr>
              <w:t>Number of Fruit.Tree</w:t>
            </w:r>
            <w:r w:rsidRPr="009170C5">
              <w:rPr>
                <w:rFonts w:ascii="Times New Roman" w:eastAsia="Times New Roman" w:hAnsi="Times New Roman" w:cs="Times New Roman"/>
                <w:b/>
                <w:color w:val="000000"/>
                <w:sz w:val="20"/>
                <w:szCs w:val="20"/>
                <w:vertAlign w:val="superscript"/>
              </w:rPr>
              <w:t>-1</w:t>
            </w:r>
          </w:p>
        </w:tc>
      </w:tr>
      <w:tr w:rsidR="00F5454C" w14:paraId="35C91507" w14:textId="77777777" w:rsidTr="009170C5">
        <w:trPr>
          <w:trHeight w:val="331"/>
          <w:jc w:val="center"/>
        </w:trPr>
        <w:tc>
          <w:tcPr>
            <w:tcW w:w="3177" w:type="dxa"/>
            <w:vMerge/>
            <w:tcBorders>
              <w:top w:val="single" w:sz="4" w:space="0" w:color="auto"/>
              <w:bottom w:val="single" w:sz="4" w:space="0" w:color="auto"/>
            </w:tcBorders>
            <w:vAlign w:val="center"/>
            <w:hideMark/>
          </w:tcPr>
          <w:p w14:paraId="3C1E389D" w14:textId="77777777" w:rsidR="009170C5" w:rsidRPr="009170C5" w:rsidRDefault="009170C5" w:rsidP="0098349D">
            <w:pPr>
              <w:spacing w:after="0" w:line="240" w:lineRule="auto"/>
              <w:jc w:val="center"/>
              <w:rPr>
                <w:rFonts w:ascii="Times New Roman" w:eastAsia="Times New Roman" w:hAnsi="Times New Roman" w:cs="Times New Roman"/>
                <w:b/>
                <w:color w:val="000000"/>
                <w:sz w:val="20"/>
                <w:szCs w:val="20"/>
              </w:rPr>
            </w:pPr>
          </w:p>
        </w:tc>
        <w:tc>
          <w:tcPr>
            <w:tcW w:w="1938" w:type="dxa"/>
            <w:tcBorders>
              <w:top w:val="single" w:sz="4" w:space="0" w:color="auto"/>
              <w:bottom w:val="single" w:sz="4" w:space="0" w:color="auto"/>
            </w:tcBorders>
            <w:noWrap/>
            <w:vAlign w:val="center"/>
            <w:hideMark/>
          </w:tcPr>
          <w:p w14:paraId="6E6EBDBE" w14:textId="77777777" w:rsidR="009170C5" w:rsidRPr="009170C5" w:rsidRDefault="00000000" w:rsidP="0098349D">
            <w:pPr>
              <w:spacing w:after="0" w:line="240" w:lineRule="auto"/>
              <w:jc w:val="center"/>
              <w:rPr>
                <w:rFonts w:ascii="Times New Roman" w:eastAsia="Times New Roman" w:hAnsi="Times New Roman" w:cs="Times New Roman"/>
                <w:b/>
                <w:color w:val="000000"/>
                <w:sz w:val="20"/>
                <w:szCs w:val="20"/>
              </w:rPr>
            </w:pPr>
            <w:r w:rsidRPr="009170C5">
              <w:rPr>
                <w:rFonts w:ascii="Times New Roman" w:eastAsia="Times New Roman" w:hAnsi="Times New Roman" w:cs="Times New Roman"/>
                <w:b/>
                <w:color w:val="000000"/>
                <w:sz w:val="20"/>
                <w:szCs w:val="20"/>
              </w:rPr>
              <w:t>cm</w:t>
            </w:r>
          </w:p>
        </w:tc>
        <w:tc>
          <w:tcPr>
            <w:tcW w:w="1563" w:type="dxa"/>
            <w:tcBorders>
              <w:top w:val="single" w:sz="4" w:space="0" w:color="auto"/>
              <w:bottom w:val="single" w:sz="4" w:space="0" w:color="auto"/>
            </w:tcBorders>
            <w:noWrap/>
            <w:vAlign w:val="center"/>
            <w:hideMark/>
          </w:tcPr>
          <w:p w14:paraId="297212A4" w14:textId="77777777" w:rsidR="009170C5" w:rsidRPr="009170C5" w:rsidRDefault="00000000" w:rsidP="0098349D">
            <w:pPr>
              <w:spacing w:after="0" w:line="240" w:lineRule="auto"/>
              <w:jc w:val="center"/>
              <w:rPr>
                <w:rFonts w:ascii="Times New Roman" w:eastAsia="Times New Roman" w:hAnsi="Times New Roman" w:cs="Times New Roman"/>
                <w:b/>
                <w:color w:val="000000"/>
                <w:sz w:val="20"/>
                <w:szCs w:val="20"/>
              </w:rPr>
            </w:pPr>
            <w:r w:rsidRPr="009170C5">
              <w:rPr>
                <w:rFonts w:ascii="Times New Roman" w:eastAsia="Times New Roman" w:hAnsi="Times New Roman" w:cs="Times New Roman"/>
                <w:b/>
                <w:color w:val="000000"/>
                <w:sz w:val="20"/>
                <w:szCs w:val="20"/>
              </w:rPr>
              <w:t>cm</w:t>
            </w:r>
          </w:p>
        </w:tc>
        <w:tc>
          <w:tcPr>
            <w:tcW w:w="2551" w:type="dxa"/>
            <w:tcBorders>
              <w:top w:val="single" w:sz="4" w:space="0" w:color="auto"/>
              <w:bottom w:val="single" w:sz="4" w:space="0" w:color="auto"/>
            </w:tcBorders>
            <w:noWrap/>
            <w:vAlign w:val="center"/>
            <w:hideMark/>
          </w:tcPr>
          <w:p w14:paraId="1841F7B8" w14:textId="77777777" w:rsidR="009170C5" w:rsidRPr="009170C5" w:rsidRDefault="00000000" w:rsidP="0098349D">
            <w:pPr>
              <w:spacing w:after="0" w:line="240" w:lineRule="auto"/>
              <w:jc w:val="center"/>
              <w:rPr>
                <w:rFonts w:ascii="Times New Roman" w:eastAsia="Times New Roman" w:hAnsi="Times New Roman" w:cs="Times New Roman"/>
                <w:b/>
                <w:color w:val="000000"/>
                <w:sz w:val="20"/>
                <w:szCs w:val="20"/>
              </w:rPr>
            </w:pPr>
            <w:r w:rsidRPr="009170C5">
              <w:rPr>
                <w:rFonts w:ascii="Times New Roman" w:eastAsia="Times New Roman" w:hAnsi="Times New Roman" w:cs="Times New Roman"/>
                <w:b/>
                <w:color w:val="000000"/>
                <w:sz w:val="20"/>
                <w:szCs w:val="20"/>
              </w:rPr>
              <w:t>Fruit</w:t>
            </w:r>
          </w:p>
        </w:tc>
      </w:tr>
      <w:tr w:rsidR="00F5454C" w14:paraId="5E352250" w14:textId="77777777" w:rsidTr="009170C5">
        <w:trPr>
          <w:trHeight w:val="604"/>
          <w:jc w:val="center"/>
        </w:trPr>
        <w:tc>
          <w:tcPr>
            <w:tcW w:w="3177" w:type="dxa"/>
            <w:tcBorders>
              <w:top w:val="single" w:sz="4" w:space="0" w:color="auto"/>
              <w:bottom w:val="nil"/>
            </w:tcBorders>
            <w:noWrap/>
            <w:vAlign w:val="center"/>
            <w:hideMark/>
          </w:tcPr>
          <w:p w14:paraId="7E387672" w14:textId="77777777" w:rsidR="009170C5" w:rsidRPr="009170C5" w:rsidRDefault="00000000" w:rsidP="0098349D">
            <w:pPr>
              <w:spacing w:after="0" w:line="240" w:lineRule="auto"/>
              <w:jc w:val="center"/>
              <w:rPr>
                <w:rFonts w:ascii="Times New Roman" w:eastAsia="Times New Roman" w:hAnsi="Times New Roman" w:cs="Times New Roman"/>
                <w:color w:val="000000"/>
                <w:sz w:val="20"/>
                <w:szCs w:val="20"/>
              </w:rPr>
            </w:pPr>
            <w:r w:rsidRPr="009170C5">
              <w:rPr>
                <w:rFonts w:ascii="Times New Roman" w:eastAsia="Times New Roman" w:hAnsi="Times New Roman" w:cs="Times New Roman"/>
                <w:i/>
                <w:color w:val="000000"/>
                <w:sz w:val="20"/>
                <w:szCs w:val="20"/>
              </w:rPr>
              <w:t>Tenebrio molitor</w:t>
            </w:r>
            <w:r w:rsidRPr="009170C5">
              <w:rPr>
                <w:rFonts w:ascii="Times New Roman" w:eastAsia="Times New Roman" w:hAnsi="Times New Roman" w:cs="Times New Roman"/>
                <w:color w:val="000000"/>
                <w:sz w:val="20"/>
                <w:szCs w:val="20"/>
              </w:rPr>
              <w:t xml:space="preserve"> (L.) Tenebrionidae.</w:t>
            </w:r>
          </w:p>
        </w:tc>
        <w:tc>
          <w:tcPr>
            <w:tcW w:w="1938" w:type="dxa"/>
            <w:tcBorders>
              <w:top w:val="single" w:sz="4" w:space="0" w:color="auto"/>
              <w:bottom w:val="nil"/>
            </w:tcBorders>
            <w:noWrap/>
            <w:vAlign w:val="center"/>
            <w:hideMark/>
          </w:tcPr>
          <w:p w14:paraId="5724E980" w14:textId="77777777" w:rsidR="009170C5" w:rsidRPr="009170C5" w:rsidRDefault="00000000" w:rsidP="0098349D">
            <w:pPr>
              <w:spacing w:after="0" w:line="240" w:lineRule="auto"/>
              <w:jc w:val="center"/>
              <w:rPr>
                <w:rFonts w:ascii="Times New Roman" w:eastAsia="Times New Roman" w:hAnsi="Times New Roman" w:cs="Times New Roman"/>
                <w:color w:val="000000"/>
                <w:sz w:val="20"/>
                <w:szCs w:val="20"/>
              </w:rPr>
            </w:pPr>
            <w:r w:rsidRPr="009170C5">
              <w:rPr>
                <w:rFonts w:ascii="Times New Roman" w:eastAsia="Times New Roman" w:hAnsi="Times New Roman" w:cs="Times New Roman"/>
                <w:color w:val="000000"/>
                <w:sz w:val="20"/>
                <w:szCs w:val="20"/>
              </w:rPr>
              <w:t>68</w:t>
            </w:r>
          </w:p>
        </w:tc>
        <w:tc>
          <w:tcPr>
            <w:tcW w:w="1563" w:type="dxa"/>
            <w:tcBorders>
              <w:top w:val="single" w:sz="4" w:space="0" w:color="auto"/>
              <w:bottom w:val="nil"/>
            </w:tcBorders>
            <w:noWrap/>
            <w:vAlign w:val="center"/>
            <w:hideMark/>
          </w:tcPr>
          <w:p w14:paraId="3E1EB788" w14:textId="77777777" w:rsidR="009170C5" w:rsidRPr="009170C5" w:rsidRDefault="00000000" w:rsidP="0098349D">
            <w:pPr>
              <w:spacing w:after="0" w:line="240" w:lineRule="auto"/>
              <w:jc w:val="center"/>
              <w:rPr>
                <w:rFonts w:ascii="Times New Roman" w:eastAsia="Times New Roman" w:hAnsi="Times New Roman" w:cs="Times New Roman"/>
                <w:color w:val="000000"/>
                <w:sz w:val="20"/>
                <w:szCs w:val="20"/>
              </w:rPr>
            </w:pPr>
            <w:r w:rsidRPr="009170C5">
              <w:rPr>
                <w:rFonts w:ascii="Times New Roman" w:eastAsia="Times New Roman" w:hAnsi="Times New Roman" w:cs="Times New Roman"/>
                <w:color w:val="000000"/>
                <w:sz w:val="20"/>
                <w:szCs w:val="20"/>
              </w:rPr>
              <w:t>39</w:t>
            </w:r>
          </w:p>
        </w:tc>
        <w:tc>
          <w:tcPr>
            <w:tcW w:w="2551" w:type="dxa"/>
            <w:tcBorders>
              <w:top w:val="single" w:sz="4" w:space="0" w:color="auto"/>
              <w:bottom w:val="nil"/>
            </w:tcBorders>
            <w:noWrap/>
            <w:vAlign w:val="center"/>
            <w:hideMark/>
          </w:tcPr>
          <w:p w14:paraId="3B73A2B1" w14:textId="77777777" w:rsidR="009170C5" w:rsidRPr="009170C5" w:rsidRDefault="00000000" w:rsidP="0098349D">
            <w:pPr>
              <w:spacing w:after="0" w:line="240" w:lineRule="auto"/>
              <w:jc w:val="center"/>
              <w:rPr>
                <w:rFonts w:ascii="Times New Roman" w:eastAsia="Times New Roman" w:hAnsi="Times New Roman" w:cs="Times New Roman"/>
                <w:color w:val="000000"/>
                <w:sz w:val="20"/>
                <w:szCs w:val="20"/>
              </w:rPr>
            </w:pPr>
            <w:r w:rsidRPr="009170C5">
              <w:rPr>
                <w:rFonts w:ascii="Times New Roman" w:eastAsia="Times New Roman" w:hAnsi="Times New Roman" w:cs="Times New Roman"/>
                <w:color w:val="000000"/>
                <w:sz w:val="20"/>
                <w:szCs w:val="20"/>
              </w:rPr>
              <w:t>86</w:t>
            </w:r>
          </w:p>
        </w:tc>
      </w:tr>
      <w:tr w:rsidR="00F5454C" w14:paraId="64C61C15" w14:textId="77777777" w:rsidTr="009170C5">
        <w:trPr>
          <w:trHeight w:val="415"/>
          <w:jc w:val="center"/>
        </w:trPr>
        <w:tc>
          <w:tcPr>
            <w:tcW w:w="3177" w:type="dxa"/>
            <w:tcBorders>
              <w:top w:val="nil"/>
            </w:tcBorders>
            <w:noWrap/>
            <w:vAlign w:val="center"/>
            <w:hideMark/>
          </w:tcPr>
          <w:p w14:paraId="377231E0" w14:textId="77777777" w:rsidR="009170C5" w:rsidRPr="009170C5" w:rsidRDefault="00000000" w:rsidP="0098349D">
            <w:pPr>
              <w:spacing w:after="0" w:line="240" w:lineRule="auto"/>
              <w:jc w:val="center"/>
              <w:rPr>
                <w:rFonts w:ascii="Times New Roman" w:eastAsia="Times New Roman" w:hAnsi="Times New Roman" w:cs="Times New Roman"/>
                <w:color w:val="000000"/>
                <w:sz w:val="20"/>
                <w:szCs w:val="20"/>
              </w:rPr>
            </w:pPr>
            <w:r w:rsidRPr="009170C5">
              <w:rPr>
                <w:rFonts w:ascii="Times New Roman" w:eastAsia="Times New Roman" w:hAnsi="Times New Roman" w:cs="Times New Roman"/>
                <w:i/>
                <w:color w:val="000000"/>
                <w:sz w:val="20"/>
                <w:szCs w:val="20"/>
              </w:rPr>
              <w:t>Bombyx mori</w:t>
            </w:r>
            <w:r w:rsidRPr="009170C5">
              <w:rPr>
                <w:rFonts w:ascii="Times New Roman" w:eastAsia="Times New Roman" w:hAnsi="Times New Roman" w:cs="Times New Roman"/>
                <w:color w:val="000000"/>
                <w:sz w:val="20"/>
                <w:szCs w:val="20"/>
              </w:rPr>
              <w:t xml:space="preserve"> Linnaeus.</w:t>
            </w:r>
          </w:p>
        </w:tc>
        <w:tc>
          <w:tcPr>
            <w:tcW w:w="1938" w:type="dxa"/>
            <w:tcBorders>
              <w:top w:val="nil"/>
            </w:tcBorders>
            <w:noWrap/>
            <w:vAlign w:val="center"/>
            <w:hideMark/>
          </w:tcPr>
          <w:p w14:paraId="32F03DE9" w14:textId="77777777" w:rsidR="009170C5" w:rsidRPr="009170C5" w:rsidRDefault="00000000" w:rsidP="0098349D">
            <w:pPr>
              <w:spacing w:after="0" w:line="240" w:lineRule="auto"/>
              <w:jc w:val="center"/>
              <w:rPr>
                <w:rFonts w:ascii="Times New Roman" w:eastAsia="Times New Roman" w:hAnsi="Times New Roman" w:cs="Times New Roman"/>
                <w:color w:val="000000"/>
                <w:sz w:val="20"/>
                <w:szCs w:val="20"/>
              </w:rPr>
            </w:pPr>
            <w:r w:rsidRPr="009170C5">
              <w:rPr>
                <w:rFonts w:ascii="Times New Roman" w:eastAsia="Times New Roman" w:hAnsi="Times New Roman" w:cs="Times New Roman"/>
                <w:color w:val="000000"/>
                <w:sz w:val="20"/>
                <w:szCs w:val="20"/>
              </w:rPr>
              <w:t>69</w:t>
            </w:r>
          </w:p>
        </w:tc>
        <w:tc>
          <w:tcPr>
            <w:tcW w:w="1563" w:type="dxa"/>
            <w:tcBorders>
              <w:top w:val="nil"/>
            </w:tcBorders>
            <w:noWrap/>
            <w:vAlign w:val="center"/>
            <w:hideMark/>
          </w:tcPr>
          <w:p w14:paraId="4583DDD3" w14:textId="77777777" w:rsidR="009170C5" w:rsidRPr="009170C5" w:rsidRDefault="00000000" w:rsidP="0098349D">
            <w:pPr>
              <w:spacing w:after="0" w:line="240" w:lineRule="auto"/>
              <w:jc w:val="center"/>
              <w:rPr>
                <w:rFonts w:ascii="Times New Roman" w:eastAsia="Times New Roman" w:hAnsi="Times New Roman" w:cs="Times New Roman"/>
                <w:color w:val="000000"/>
                <w:sz w:val="20"/>
                <w:szCs w:val="20"/>
              </w:rPr>
            </w:pPr>
            <w:r w:rsidRPr="009170C5">
              <w:rPr>
                <w:rFonts w:ascii="Times New Roman" w:eastAsia="Times New Roman" w:hAnsi="Times New Roman" w:cs="Times New Roman"/>
                <w:color w:val="000000"/>
                <w:sz w:val="20"/>
                <w:szCs w:val="20"/>
              </w:rPr>
              <w:t>43</w:t>
            </w:r>
          </w:p>
        </w:tc>
        <w:tc>
          <w:tcPr>
            <w:tcW w:w="2551" w:type="dxa"/>
            <w:tcBorders>
              <w:top w:val="nil"/>
            </w:tcBorders>
            <w:noWrap/>
            <w:vAlign w:val="center"/>
            <w:hideMark/>
          </w:tcPr>
          <w:p w14:paraId="6EE1BABF" w14:textId="77777777" w:rsidR="009170C5" w:rsidRPr="009170C5" w:rsidRDefault="00000000" w:rsidP="0098349D">
            <w:pPr>
              <w:spacing w:after="0" w:line="240" w:lineRule="auto"/>
              <w:jc w:val="center"/>
              <w:rPr>
                <w:rFonts w:ascii="Times New Roman" w:eastAsia="Times New Roman" w:hAnsi="Times New Roman" w:cs="Times New Roman"/>
                <w:color w:val="000000"/>
                <w:sz w:val="20"/>
                <w:szCs w:val="20"/>
              </w:rPr>
            </w:pPr>
            <w:r w:rsidRPr="009170C5">
              <w:rPr>
                <w:rFonts w:ascii="Times New Roman" w:eastAsia="Times New Roman" w:hAnsi="Times New Roman" w:cs="Times New Roman"/>
                <w:color w:val="000000"/>
                <w:sz w:val="20"/>
                <w:szCs w:val="20"/>
              </w:rPr>
              <w:t>88</w:t>
            </w:r>
          </w:p>
        </w:tc>
      </w:tr>
      <w:tr w:rsidR="00F5454C" w14:paraId="26A823AA" w14:textId="77777777" w:rsidTr="009170C5">
        <w:trPr>
          <w:trHeight w:val="509"/>
          <w:jc w:val="center"/>
        </w:trPr>
        <w:tc>
          <w:tcPr>
            <w:tcW w:w="3177" w:type="dxa"/>
            <w:vMerge w:val="restart"/>
            <w:vAlign w:val="center"/>
            <w:hideMark/>
          </w:tcPr>
          <w:p w14:paraId="1F3044A5" w14:textId="77777777" w:rsidR="009170C5" w:rsidRPr="009170C5" w:rsidRDefault="00000000" w:rsidP="0098349D">
            <w:pPr>
              <w:spacing w:after="0" w:line="240" w:lineRule="auto"/>
              <w:jc w:val="center"/>
              <w:rPr>
                <w:rFonts w:ascii="Times New Roman" w:eastAsia="Times New Roman" w:hAnsi="Times New Roman" w:cs="Times New Roman"/>
                <w:color w:val="000000"/>
                <w:sz w:val="20"/>
                <w:szCs w:val="20"/>
                <w:lang w:val="pt-BR"/>
              </w:rPr>
            </w:pPr>
            <w:r w:rsidRPr="009170C5">
              <w:rPr>
                <w:rFonts w:ascii="Times New Roman" w:eastAsia="Times New Roman" w:hAnsi="Times New Roman" w:cs="Times New Roman"/>
                <w:i/>
                <w:color w:val="000000"/>
                <w:sz w:val="20"/>
                <w:szCs w:val="20"/>
                <w:lang w:val="pt-BR"/>
              </w:rPr>
              <w:lastRenderedPageBreak/>
              <w:t>Tenebrio molitor</w:t>
            </w:r>
            <w:r w:rsidRPr="009170C5">
              <w:rPr>
                <w:rFonts w:ascii="Times New Roman" w:eastAsia="Times New Roman" w:hAnsi="Times New Roman" w:cs="Times New Roman"/>
                <w:color w:val="000000"/>
                <w:sz w:val="20"/>
                <w:szCs w:val="20"/>
                <w:lang w:val="pt-BR"/>
              </w:rPr>
              <w:t xml:space="preserve"> (L.) Tenebrionidae. +</w:t>
            </w:r>
          </w:p>
          <w:p w14:paraId="19C640D1" w14:textId="77777777" w:rsidR="009170C5" w:rsidRPr="009170C5" w:rsidRDefault="00000000" w:rsidP="0098349D">
            <w:pPr>
              <w:spacing w:after="0" w:line="240" w:lineRule="auto"/>
              <w:jc w:val="center"/>
              <w:rPr>
                <w:rFonts w:ascii="Times New Roman" w:eastAsia="Times New Roman" w:hAnsi="Times New Roman" w:cs="Times New Roman"/>
                <w:color w:val="000000"/>
                <w:sz w:val="20"/>
                <w:szCs w:val="20"/>
                <w:lang w:val="pt-BR"/>
              </w:rPr>
            </w:pPr>
            <w:r w:rsidRPr="009170C5">
              <w:rPr>
                <w:rFonts w:ascii="Times New Roman" w:eastAsia="Times New Roman" w:hAnsi="Times New Roman" w:cs="Times New Roman"/>
                <w:color w:val="000000"/>
                <w:sz w:val="20"/>
                <w:szCs w:val="20"/>
                <w:lang w:val="pt-BR"/>
              </w:rPr>
              <w:t xml:space="preserve"> </w:t>
            </w:r>
            <w:r w:rsidRPr="009170C5">
              <w:rPr>
                <w:rFonts w:ascii="Times New Roman" w:eastAsia="Times New Roman" w:hAnsi="Times New Roman" w:cs="Times New Roman"/>
                <w:i/>
                <w:color w:val="000000"/>
                <w:sz w:val="20"/>
                <w:szCs w:val="20"/>
                <w:lang w:val="pt-BR"/>
              </w:rPr>
              <w:t>Bombyx mori</w:t>
            </w:r>
            <w:r w:rsidRPr="009170C5">
              <w:rPr>
                <w:rFonts w:ascii="Times New Roman" w:eastAsia="Times New Roman" w:hAnsi="Times New Roman" w:cs="Times New Roman"/>
                <w:color w:val="000000"/>
                <w:sz w:val="20"/>
                <w:szCs w:val="20"/>
                <w:lang w:val="pt-BR"/>
              </w:rPr>
              <w:t xml:space="preserve"> Linnaeus.</w:t>
            </w:r>
          </w:p>
        </w:tc>
        <w:tc>
          <w:tcPr>
            <w:tcW w:w="1938" w:type="dxa"/>
            <w:vMerge w:val="restart"/>
            <w:noWrap/>
            <w:vAlign w:val="center"/>
            <w:hideMark/>
          </w:tcPr>
          <w:p w14:paraId="65B1415A" w14:textId="77777777" w:rsidR="009170C5" w:rsidRPr="009170C5" w:rsidRDefault="00000000" w:rsidP="0098349D">
            <w:pPr>
              <w:spacing w:after="0" w:line="240" w:lineRule="auto"/>
              <w:jc w:val="center"/>
              <w:rPr>
                <w:rFonts w:ascii="Times New Roman" w:eastAsia="Times New Roman" w:hAnsi="Times New Roman" w:cs="Times New Roman"/>
                <w:color w:val="000000"/>
                <w:sz w:val="20"/>
                <w:szCs w:val="20"/>
              </w:rPr>
            </w:pPr>
            <w:r w:rsidRPr="009170C5">
              <w:rPr>
                <w:rFonts w:ascii="Times New Roman" w:eastAsia="Times New Roman" w:hAnsi="Times New Roman" w:cs="Times New Roman"/>
                <w:color w:val="000000"/>
                <w:sz w:val="20"/>
                <w:szCs w:val="20"/>
              </w:rPr>
              <w:t>72</w:t>
            </w:r>
          </w:p>
        </w:tc>
        <w:tc>
          <w:tcPr>
            <w:tcW w:w="1563" w:type="dxa"/>
            <w:vMerge w:val="restart"/>
            <w:noWrap/>
            <w:vAlign w:val="center"/>
            <w:hideMark/>
          </w:tcPr>
          <w:p w14:paraId="5C251912" w14:textId="77777777" w:rsidR="009170C5" w:rsidRPr="009170C5" w:rsidRDefault="00000000" w:rsidP="0098349D">
            <w:pPr>
              <w:spacing w:after="0" w:line="240" w:lineRule="auto"/>
              <w:jc w:val="center"/>
              <w:rPr>
                <w:rFonts w:ascii="Times New Roman" w:eastAsia="Times New Roman" w:hAnsi="Times New Roman" w:cs="Times New Roman"/>
                <w:color w:val="000000"/>
                <w:sz w:val="20"/>
                <w:szCs w:val="20"/>
              </w:rPr>
            </w:pPr>
            <w:r w:rsidRPr="009170C5">
              <w:rPr>
                <w:rFonts w:ascii="Times New Roman" w:eastAsia="Times New Roman" w:hAnsi="Times New Roman" w:cs="Times New Roman"/>
                <w:color w:val="000000"/>
                <w:sz w:val="20"/>
                <w:szCs w:val="20"/>
              </w:rPr>
              <w:t>49</w:t>
            </w:r>
          </w:p>
        </w:tc>
        <w:tc>
          <w:tcPr>
            <w:tcW w:w="2551" w:type="dxa"/>
            <w:vMerge w:val="restart"/>
            <w:noWrap/>
            <w:vAlign w:val="center"/>
            <w:hideMark/>
          </w:tcPr>
          <w:p w14:paraId="163FBFA7" w14:textId="77777777" w:rsidR="009170C5" w:rsidRPr="009170C5" w:rsidRDefault="00000000" w:rsidP="0098349D">
            <w:pPr>
              <w:spacing w:after="0" w:line="240" w:lineRule="auto"/>
              <w:jc w:val="center"/>
              <w:rPr>
                <w:rFonts w:ascii="Times New Roman" w:eastAsia="Times New Roman" w:hAnsi="Times New Roman" w:cs="Times New Roman"/>
                <w:color w:val="000000"/>
                <w:sz w:val="20"/>
                <w:szCs w:val="20"/>
              </w:rPr>
            </w:pPr>
            <w:r w:rsidRPr="009170C5">
              <w:rPr>
                <w:rFonts w:ascii="Times New Roman" w:eastAsia="Times New Roman" w:hAnsi="Times New Roman" w:cs="Times New Roman"/>
                <w:color w:val="000000"/>
                <w:sz w:val="20"/>
                <w:szCs w:val="20"/>
              </w:rPr>
              <w:t>98</w:t>
            </w:r>
          </w:p>
        </w:tc>
      </w:tr>
      <w:tr w:rsidR="00F5454C" w14:paraId="6B4CD91E" w14:textId="77777777" w:rsidTr="009170C5">
        <w:trPr>
          <w:trHeight w:val="794"/>
          <w:jc w:val="center"/>
        </w:trPr>
        <w:tc>
          <w:tcPr>
            <w:tcW w:w="3177" w:type="dxa"/>
            <w:vMerge/>
            <w:vAlign w:val="center"/>
            <w:hideMark/>
          </w:tcPr>
          <w:p w14:paraId="1B6CFADD" w14:textId="77777777" w:rsidR="009170C5" w:rsidRPr="009170C5" w:rsidRDefault="009170C5" w:rsidP="0098349D">
            <w:pPr>
              <w:spacing w:after="0" w:line="240" w:lineRule="auto"/>
              <w:jc w:val="center"/>
              <w:rPr>
                <w:rFonts w:ascii="Times New Roman" w:eastAsia="Times New Roman" w:hAnsi="Times New Roman" w:cs="Times New Roman"/>
                <w:color w:val="000000"/>
                <w:sz w:val="20"/>
                <w:szCs w:val="20"/>
              </w:rPr>
            </w:pPr>
          </w:p>
        </w:tc>
        <w:tc>
          <w:tcPr>
            <w:tcW w:w="1938" w:type="dxa"/>
            <w:vMerge/>
            <w:vAlign w:val="center"/>
            <w:hideMark/>
          </w:tcPr>
          <w:p w14:paraId="3EE0BC6A" w14:textId="77777777" w:rsidR="009170C5" w:rsidRPr="009170C5" w:rsidRDefault="009170C5" w:rsidP="0098349D">
            <w:pPr>
              <w:spacing w:after="0" w:line="240" w:lineRule="auto"/>
              <w:jc w:val="center"/>
              <w:rPr>
                <w:rFonts w:ascii="Times New Roman" w:eastAsia="Times New Roman" w:hAnsi="Times New Roman" w:cs="Times New Roman"/>
                <w:color w:val="000000"/>
                <w:sz w:val="20"/>
                <w:szCs w:val="20"/>
              </w:rPr>
            </w:pPr>
          </w:p>
        </w:tc>
        <w:tc>
          <w:tcPr>
            <w:tcW w:w="1563" w:type="dxa"/>
            <w:vMerge/>
            <w:vAlign w:val="center"/>
            <w:hideMark/>
          </w:tcPr>
          <w:p w14:paraId="4EA8F6F7" w14:textId="77777777" w:rsidR="009170C5" w:rsidRPr="009170C5" w:rsidRDefault="009170C5" w:rsidP="0098349D">
            <w:pPr>
              <w:spacing w:after="0" w:line="240" w:lineRule="auto"/>
              <w:jc w:val="center"/>
              <w:rPr>
                <w:rFonts w:ascii="Times New Roman" w:eastAsia="Times New Roman" w:hAnsi="Times New Roman" w:cs="Times New Roman"/>
                <w:color w:val="000000"/>
                <w:sz w:val="20"/>
                <w:szCs w:val="20"/>
              </w:rPr>
            </w:pPr>
          </w:p>
        </w:tc>
        <w:tc>
          <w:tcPr>
            <w:tcW w:w="2551" w:type="dxa"/>
            <w:vMerge/>
            <w:vAlign w:val="center"/>
            <w:hideMark/>
          </w:tcPr>
          <w:p w14:paraId="43172E02" w14:textId="77777777" w:rsidR="009170C5" w:rsidRPr="009170C5" w:rsidRDefault="009170C5" w:rsidP="0098349D">
            <w:pPr>
              <w:spacing w:after="0" w:line="240" w:lineRule="auto"/>
              <w:jc w:val="center"/>
              <w:rPr>
                <w:rFonts w:ascii="Times New Roman" w:eastAsia="Times New Roman" w:hAnsi="Times New Roman" w:cs="Times New Roman"/>
                <w:color w:val="000000"/>
                <w:sz w:val="20"/>
                <w:szCs w:val="20"/>
              </w:rPr>
            </w:pPr>
          </w:p>
        </w:tc>
      </w:tr>
    </w:tbl>
    <w:p w14:paraId="7E323E4B" w14:textId="77777777" w:rsidR="009170C5" w:rsidRDefault="009170C5" w:rsidP="009170C5">
      <w:pPr>
        <w:spacing w:after="0" w:line="240" w:lineRule="auto"/>
        <w:rPr>
          <w:rFonts w:ascii="Cambria" w:hAnsi="Cambria"/>
        </w:rPr>
      </w:pPr>
    </w:p>
    <w:p w14:paraId="688CC0C0" w14:textId="77777777" w:rsidR="009170C5" w:rsidRPr="0014487D" w:rsidRDefault="00000000" w:rsidP="0014487D">
      <w:pPr>
        <w:spacing w:after="0" w:line="240" w:lineRule="auto"/>
        <w:ind w:firstLine="567"/>
        <w:jc w:val="both"/>
        <w:rPr>
          <w:rFonts w:ascii="Cambria" w:hAnsi="Cambria"/>
        </w:rPr>
      </w:pPr>
      <w:r w:rsidRPr="0014487D">
        <w:rPr>
          <w:rFonts w:ascii="Cambria" w:hAnsi="Cambria"/>
        </w:rPr>
        <w:t xml:space="preserve">In the analysis of vegetative growth and yield on </w:t>
      </w:r>
      <w:r w:rsidRPr="0014487D">
        <w:rPr>
          <w:rFonts w:ascii="Cambria" w:hAnsi="Cambria"/>
          <w:i/>
        </w:rPr>
        <w:t>Capsicum frutescens</w:t>
      </w:r>
      <w:r w:rsidRPr="0014487D">
        <w:rPr>
          <w:rFonts w:ascii="Cambria" w:hAnsi="Cambria"/>
        </w:rPr>
        <w:t xml:space="preserve"> ‘Bird's Eye’ plants, it can be seen that the plant height with the application of Caterpillar </w:t>
      </w:r>
      <w:r w:rsidRPr="0014487D">
        <w:rPr>
          <w:rFonts w:ascii="Cambria" w:hAnsi="Cambria"/>
          <w:i/>
        </w:rPr>
        <w:t>Tenebrio molitor</w:t>
      </w:r>
      <w:r w:rsidRPr="0014487D">
        <w:rPr>
          <w:rFonts w:ascii="Cambria" w:hAnsi="Cambria"/>
        </w:rPr>
        <w:t xml:space="preserve"> (L.) Tenebrionidae. has a height of 68 cm, Caterpillar </w:t>
      </w:r>
      <w:r w:rsidRPr="0014487D">
        <w:rPr>
          <w:rFonts w:ascii="Cambria" w:hAnsi="Cambria"/>
          <w:i/>
        </w:rPr>
        <w:t>Bombyx mori</w:t>
      </w:r>
      <w:r w:rsidRPr="0014487D">
        <w:rPr>
          <w:rFonts w:ascii="Cambria" w:hAnsi="Cambria"/>
        </w:rPr>
        <w:t xml:space="preserve"> Linnaeus. has a height of 69 cm and a mixed formulation of Caterpillar Epigenetics: </w:t>
      </w:r>
      <w:r w:rsidRPr="0014487D">
        <w:rPr>
          <w:rFonts w:ascii="Cambria" w:hAnsi="Cambria"/>
          <w:i/>
        </w:rPr>
        <w:t>Tenebrio molitor</w:t>
      </w:r>
      <w:r w:rsidRPr="0014487D">
        <w:rPr>
          <w:rFonts w:ascii="Cambria" w:hAnsi="Cambria"/>
        </w:rPr>
        <w:t xml:space="preserve"> (L.) Tenebrionidae. and </w:t>
      </w:r>
      <w:r w:rsidRPr="0014487D">
        <w:rPr>
          <w:rFonts w:ascii="Cambria" w:hAnsi="Cambria"/>
          <w:i/>
        </w:rPr>
        <w:t>Bombyx mori</w:t>
      </w:r>
      <w:r w:rsidRPr="0014487D">
        <w:rPr>
          <w:rFonts w:ascii="Cambria" w:hAnsi="Cambria"/>
        </w:rPr>
        <w:t xml:space="preserve"> Linnaeus. had a height of 72 cm. It is said that the application of the Epigenetic Caterpillar can increase plant growth without the addition of NPK inorganic fertilizer. This is due to the content possessed by Epigenetic Caterpillars so that the increase in plant height takes place properly. While in the length of plant roots, the application of Epigenetic Caterpillar </w:t>
      </w:r>
      <w:r w:rsidRPr="0014487D">
        <w:rPr>
          <w:rFonts w:ascii="Cambria" w:hAnsi="Cambria"/>
          <w:i/>
        </w:rPr>
        <w:t>Tenebrio molitor</w:t>
      </w:r>
      <w:r w:rsidRPr="0014487D">
        <w:rPr>
          <w:rFonts w:ascii="Cambria" w:hAnsi="Cambria"/>
        </w:rPr>
        <w:t xml:space="preserve"> (L.) Tenebrionidae. which is 39 cm and Caterpillar </w:t>
      </w:r>
      <w:r w:rsidRPr="0014487D">
        <w:rPr>
          <w:rFonts w:ascii="Cambria" w:hAnsi="Cambria"/>
          <w:i/>
        </w:rPr>
        <w:t>Bombyx mori</w:t>
      </w:r>
      <w:r w:rsidRPr="0014487D">
        <w:rPr>
          <w:rFonts w:ascii="Cambria" w:hAnsi="Cambria"/>
        </w:rPr>
        <w:t xml:space="preserve"> Linnaeus. which is 43 cm and a mixed formulation of Epigenetic Caterpillar: </w:t>
      </w:r>
      <w:r w:rsidRPr="0014487D">
        <w:rPr>
          <w:rFonts w:ascii="Cambria" w:hAnsi="Cambria"/>
          <w:i/>
        </w:rPr>
        <w:t>Tenebrio molitor</w:t>
      </w:r>
      <w:r w:rsidRPr="0014487D">
        <w:rPr>
          <w:rFonts w:ascii="Cambria" w:hAnsi="Cambria"/>
        </w:rPr>
        <w:t xml:space="preserve"> (L.) Tenebrionidae. and </w:t>
      </w:r>
      <w:r w:rsidRPr="0014487D">
        <w:rPr>
          <w:rFonts w:ascii="Cambria" w:hAnsi="Cambria"/>
          <w:i/>
        </w:rPr>
        <w:t>Bombyx mori</w:t>
      </w:r>
      <w:r w:rsidRPr="0014487D">
        <w:rPr>
          <w:rFonts w:ascii="Cambria" w:hAnsi="Cambria"/>
        </w:rPr>
        <w:t xml:space="preserve"> Linnaeus. which is 49 cm. It is said that the application of Epigenetic Caterpillars is very suitable for Inceptisol soil and plants that grow because the application of Epigenetic Caterpillars can increase the length of the roots of </w:t>
      </w:r>
      <w:r w:rsidRPr="0014487D">
        <w:rPr>
          <w:rFonts w:ascii="Cambria" w:hAnsi="Cambria"/>
          <w:i/>
        </w:rPr>
        <w:t>Capsicum frutescens</w:t>
      </w:r>
      <w:r w:rsidRPr="0014487D">
        <w:rPr>
          <w:rFonts w:ascii="Cambria" w:hAnsi="Cambria"/>
        </w:rPr>
        <w:t xml:space="preserve"> 'Bird's Eye' so that the roots of plants can find water and nutrients in the soil.</w:t>
      </w:r>
    </w:p>
    <w:p w14:paraId="7ACB692D" w14:textId="77777777" w:rsidR="009170C5" w:rsidRPr="009170C5" w:rsidRDefault="00000000" w:rsidP="0014487D">
      <w:pPr>
        <w:spacing w:after="0" w:line="240" w:lineRule="auto"/>
        <w:ind w:firstLine="567"/>
        <w:jc w:val="both"/>
        <w:rPr>
          <w:rFonts w:ascii="Cambria" w:hAnsi="Cambria"/>
        </w:rPr>
      </w:pPr>
      <w:r w:rsidRPr="009170C5">
        <w:rPr>
          <w:rFonts w:ascii="Cambria" w:hAnsi="Cambria"/>
        </w:rPr>
        <w:t xml:space="preserve">In the generative analysis of </w:t>
      </w:r>
      <w:r w:rsidRPr="009170C5">
        <w:rPr>
          <w:rFonts w:ascii="Cambria" w:hAnsi="Cambria"/>
          <w:i/>
        </w:rPr>
        <w:t>Capsicum frutescens</w:t>
      </w:r>
      <w:r w:rsidRPr="009170C5">
        <w:rPr>
          <w:rFonts w:ascii="Cambria" w:hAnsi="Cambria"/>
        </w:rPr>
        <w:t xml:space="preserve"> ‘Bird's Eye’ plants, it was seen that the number of yields of spicy red small chillies in the application of Caterpillars </w:t>
      </w:r>
      <w:r w:rsidRPr="009170C5">
        <w:rPr>
          <w:rFonts w:ascii="Cambria" w:hAnsi="Cambria"/>
          <w:i/>
        </w:rPr>
        <w:t>Tenebrio molitor</w:t>
      </w:r>
      <w:r w:rsidRPr="009170C5">
        <w:rPr>
          <w:rFonts w:ascii="Cambria" w:hAnsi="Cambria"/>
        </w:rPr>
        <w:t xml:space="preserve"> (L.) Tenebrionidae. Amount to 86 fruits, while Caterpillars </w:t>
      </w:r>
      <w:r w:rsidRPr="009170C5">
        <w:rPr>
          <w:rFonts w:ascii="Cambria" w:hAnsi="Cambria"/>
          <w:i/>
        </w:rPr>
        <w:t>Bombyx mori</w:t>
      </w:r>
      <w:r w:rsidRPr="009170C5">
        <w:rPr>
          <w:rFonts w:ascii="Cambria" w:hAnsi="Cambria"/>
        </w:rPr>
        <w:t xml:space="preserve"> Linnaeus. amounted to 88 fruits and mixed formulations of Epigenetic Caterpillars:  Caterpillar </w:t>
      </w:r>
      <w:r w:rsidRPr="009170C5">
        <w:rPr>
          <w:rFonts w:ascii="Cambria" w:hAnsi="Cambria"/>
          <w:i/>
        </w:rPr>
        <w:t>Tenebrio molitor</w:t>
      </w:r>
      <w:r w:rsidRPr="009170C5">
        <w:rPr>
          <w:rFonts w:ascii="Cambria" w:hAnsi="Cambria"/>
        </w:rPr>
        <w:t xml:space="preserve"> (L.) Tenebrionidae. and Caterpillar </w:t>
      </w:r>
      <w:r w:rsidRPr="009170C5">
        <w:rPr>
          <w:rFonts w:ascii="Cambria" w:hAnsi="Cambria"/>
          <w:i/>
        </w:rPr>
        <w:t>Bombyx mori</w:t>
      </w:r>
      <w:r w:rsidRPr="009170C5">
        <w:rPr>
          <w:rFonts w:ascii="Cambria" w:hAnsi="Cambria"/>
        </w:rPr>
        <w:t xml:space="preserve"> Linnaeus. totalled 98 fruits. This includes the highest number of chilli fruits and the fastest producing fruit yields, without any formulation with inorganic fertilizers. This states that liquid organic Caterpillar Epigenetics can make plants thrive and produce fruit in conditions without the formulation of inorganic fertilizers. </w:t>
      </w:r>
    </w:p>
    <w:p w14:paraId="688EE4F9" w14:textId="77777777" w:rsidR="00AE5D06" w:rsidRPr="00354ED9" w:rsidRDefault="00AE5D06" w:rsidP="003F4567">
      <w:pPr>
        <w:rPr>
          <w:rFonts w:ascii="Cambria" w:hAnsi="Cambria"/>
          <w:sz w:val="18"/>
          <w:szCs w:val="18"/>
        </w:rPr>
      </w:pPr>
    </w:p>
    <w:p w14:paraId="4CF30796" w14:textId="77777777" w:rsidR="00AE5D06" w:rsidRPr="00354ED9" w:rsidRDefault="00000000" w:rsidP="00AE5D06">
      <w:pPr>
        <w:tabs>
          <w:tab w:val="left" w:pos="720"/>
        </w:tabs>
        <w:spacing w:before="40" w:after="40" w:line="240" w:lineRule="auto"/>
        <w:ind w:right="141"/>
        <w:contextualSpacing/>
        <w:jc w:val="both"/>
        <w:rPr>
          <w:rFonts w:ascii="Cambria" w:hAnsi="Cambria"/>
          <w:b/>
          <w:lang w:val="id-ID"/>
        </w:rPr>
      </w:pPr>
      <w:r w:rsidRPr="00354ED9">
        <w:rPr>
          <w:rFonts w:ascii="Cambria" w:hAnsi="Cambria"/>
          <w:b/>
          <w:lang w:val="id-ID"/>
        </w:rPr>
        <w:t>CONCLUSION</w:t>
      </w:r>
    </w:p>
    <w:p w14:paraId="2276EB3F" w14:textId="77777777" w:rsidR="00AE5D06" w:rsidRPr="00250B38" w:rsidRDefault="00000000" w:rsidP="00250B38">
      <w:pPr>
        <w:spacing w:before="40" w:after="40" w:line="240" w:lineRule="auto"/>
        <w:ind w:firstLine="567"/>
        <w:jc w:val="both"/>
        <w:rPr>
          <w:rFonts w:ascii="Cambria" w:hAnsi="Cambria"/>
        </w:rPr>
      </w:pPr>
      <w:r w:rsidRPr="00250B38">
        <w:rPr>
          <w:rFonts w:ascii="Cambria" w:hAnsi="Cambria"/>
        </w:rPr>
        <w:t xml:space="preserve">In this study's conclusion, the application of Epigenetic Caterpillars: Caterpillar </w:t>
      </w:r>
      <w:r w:rsidRPr="00250B38">
        <w:rPr>
          <w:rFonts w:ascii="Cambria" w:hAnsi="Cambria"/>
          <w:i/>
        </w:rPr>
        <w:t>Tenebrio molitor</w:t>
      </w:r>
      <w:r w:rsidRPr="00250B38">
        <w:rPr>
          <w:rFonts w:ascii="Cambria" w:hAnsi="Cambria"/>
        </w:rPr>
        <w:t xml:space="preserve"> (L.) Tenebrionidae. and Caterpillar </w:t>
      </w:r>
      <w:r w:rsidRPr="00250B38">
        <w:rPr>
          <w:rFonts w:ascii="Cambria" w:hAnsi="Cambria"/>
          <w:i/>
        </w:rPr>
        <w:t>Bombyx mori</w:t>
      </w:r>
      <w:r w:rsidRPr="00250B38">
        <w:rPr>
          <w:rFonts w:ascii="Cambria" w:hAnsi="Cambria"/>
        </w:rPr>
        <w:t xml:space="preserve"> Linnaeus. able to increase the fertility of Inceptisol soil experiencing nutrient deficiencies, reduce cation ions that can poison the soil and plants, and increase and add cation ions in the soil. In observing the growth and yield of </w:t>
      </w:r>
      <w:r w:rsidRPr="00250B38">
        <w:rPr>
          <w:rFonts w:ascii="Cambria" w:hAnsi="Cambria"/>
          <w:i/>
        </w:rPr>
        <w:t>Capsicum frutescens</w:t>
      </w:r>
      <w:r w:rsidRPr="00250B38">
        <w:rPr>
          <w:rFonts w:ascii="Cambria" w:hAnsi="Cambria"/>
        </w:rPr>
        <w:t>, 'Bird's Eye' plants can increase plant height and root length without adding chemical fertilizers or inorganic fertilizers so that production results continue to be produced without the role of inorganic fertilizers.</w:t>
      </w:r>
    </w:p>
    <w:p w14:paraId="472B9CFD" w14:textId="77777777" w:rsidR="00AE5D06" w:rsidRPr="00354ED9" w:rsidRDefault="00AE5D06" w:rsidP="00AE5D06">
      <w:pPr>
        <w:spacing w:before="40" w:after="40" w:line="240" w:lineRule="auto"/>
        <w:contextualSpacing/>
        <w:jc w:val="both"/>
        <w:rPr>
          <w:rFonts w:ascii="Cambria" w:hAnsi="Cambria"/>
          <w:b/>
          <w:lang w:val="id-ID"/>
        </w:rPr>
      </w:pPr>
    </w:p>
    <w:p w14:paraId="6F326C3A" w14:textId="77777777" w:rsidR="00AE5D06" w:rsidRPr="00354ED9" w:rsidRDefault="00000000" w:rsidP="002E4049">
      <w:pPr>
        <w:spacing w:before="40" w:after="40" w:line="240" w:lineRule="auto"/>
        <w:contextualSpacing/>
        <w:jc w:val="both"/>
        <w:rPr>
          <w:rFonts w:ascii="Cambria" w:hAnsi="Cambria"/>
        </w:rPr>
      </w:pPr>
      <w:r w:rsidRPr="00354ED9">
        <w:rPr>
          <w:rFonts w:ascii="Cambria" w:hAnsi="Cambria"/>
          <w:b/>
          <w:lang w:val="id-ID"/>
        </w:rPr>
        <w:t>REFERENCES</w:t>
      </w:r>
      <w:r w:rsidRPr="00354ED9">
        <w:rPr>
          <w:rFonts w:ascii="Cambria" w:hAnsi="Cambria"/>
        </w:rPr>
        <w:t xml:space="preserve"> </w:t>
      </w:r>
    </w:p>
    <w:p w14:paraId="7C6ED07F" w14:textId="77777777" w:rsidR="00C4182B" w:rsidRPr="00C4182B" w:rsidRDefault="00000000" w:rsidP="00C4182B">
      <w:pPr>
        <w:widowControl w:val="0"/>
        <w:autoSpaceDE w:val="0"/>
        <w:autoSpaceDN w:val="0"/>
        <w:adjustRightInd w:val="0"/>
        <w:spacing w:before="40" w:after="40" w:line="240" w:lineRule="auto"/>
        <w:ind w:left="480" w:hanging="480"/>
        <w:rPr>
          <w:rFonts w:ascii="Cambria" w:hAnsi="Cambria" w:cs="Times New Roman"/>
          <w:noProof/>
        </w:rPr>
      </w:pPr>
      <w:r>
        <w:rPr>
          <w:rFonts w:ascii="Cambria" w:hAnsi="Cambria" w:cs="Noto Serif"/>
          <w:shd w:val="clear" w:color="auto" w:fill="FFFFFF"/>
        </w:rPr>
        <w:fldChar w:fldCharType="begin" w:fldLock="1"/>
      </w:r>
      <w:r>
        <w:rPr>
          <w:rFonts w:ascii="Cambria" w:hAnsi="Cambria" w:cs="Noto Serif"/>
          <w:shd w:val="clear" w:color="auto" w:fill="FFFFFF"/>
        </w:rPr>
        <w:instrText xml:space="preserve">ADDIN Mendeley Bibliography CSL_BIBLIOGRAPHY </w:instrText>
      </w:r>
      <w:r>
        <w:rPr>
          <w:rFonts w:ascii="Cambria" w:hAnsi="Cambria" w:cs="Noto Serif"/>
          <w:shd w:val="clear" w:color="auto" w:fill="FFFFFF"/>
        </w:rPr>
        <w:fldChar w:fldCharType="separate"/>
      </w:r>
      <w:r w:rsidRPr="00C4182B">
        <w:rPr>
          <w:rFonts w:ascii="Cambria" w:hAnsi="Cambria" w:cs="Times New Roman"/>
          <w:noProof/>
        </w:rPr>
        <w:t xml:space="preserve">Blakstad, J. I., Strimbeck, R., Poveda, J., Bones, A. M., &amp; Kissen, R. (2023). Frass from yellow mealworm (Tenebrio molitor) as plant fertilizer and defense priming agent. </w:t>
      </w:r>
      <w:r w:rsidRPr="00C4182B">
        <w:rPr>
          <w:rFonts w:ascii="Cambria" w:hAnsi="Cambria" w:cs="Times New Roman"/>
          <w:i/>
          <w:iCs/>
          <w:noProof/>
        </w:rPr>
        <w:t>Biocatalysis and Agricultural Biotechnology</w:t>
      </w:r>
      <w:r w:rsidRPr="00C4182B">
        <w:rPr>
          <w:rFonts w:ascii="Cambria" w:hAnsi="Cambria" w:cs="Times New Roman"/>
          <w:noProof/>
        </w:rPr>
        <w:t xml:space="preserve">, </w:t>
      </w:r>
      <w:r w:rsidRPr="00C4182B">
        <w:rPr>
          <w:rFonts w:ascii="Cambria" w:hAnsi="Cambria" w:cs="Times New Roman"/>
          <w:i/>
          <w:iCs/>
          <w:noProof/>
        </w:rPr>
        <w:t>53</w:t>
      </w:r>
      <w:r w:rsidRPr="00C4182B">
        <w:rPr>
          <w:rFonts w:ascii="Cambria" w:hAnsi="Cambria" w:cs="Times New Roman"/>
          <w:noProof/>
        </w:rPr>
        <w:t>, 102862.</w:t>
      </w:r>
    </w:p>
    <w:p w14:paraId="424199D6" w14:textId="77777777" w:rsidR="00C4182B" w:rsidRPr="00C4182B" w:rsidRDefault="00000000" w:rsidP="00C4182B">
      <w:pPr>
        <w:widowControl w:val="0"/>
        <w:autoSpaceDE w:val="0"/>
        <w:autoSpaceDN w:val="0"/>
        <w:adjustRightInd w:val="0"/>
        <w:spacing w:before="40" w:after="40" w:line="240" w:lineRule="auto"/>
        <w:ind w:left="480" w:hanging="480"/>
        <w:rPr>
          <w:rFonts w:ascii="Cambria" w:hAnsi="Cambria" w:cs="Times New Roman"/>
          <w:noProof/>
        </w:rPr>
      </w:pPr>
      <w:r w:rsidRPr="00C4182B">
        <w:rPr>
          <w:rFonts w:ascii="Cambria" w:hAnsi="Cambria" w:cs="Times New Roman"/>
          <w:noProof/>
        </w:rPr>
        <w:t xml:space="preserve">Ferawati, C. F., Barus, H. N., &amp; Tjoa, A. (2014). </w:t>
      </w:r>
      <w:r w:rsidRPr="00C4182B">
        <w:rPr>
          <w:rFonts w:ascii="Cambria" w:hAnsi="Cambria" w:cs="Times New Roman"/>
          <w:i/>
          <w:iCs/>
          <w:noProof/>
        </w:rPr>
        <w:t>Pengaruh pupuk organik mikroba rumpun bambu terhadap pertumbuhan tanaman cabai (Capsicum annuum L.)</w:t>
      </w:r>
      <w:r w:rsidRPr="00C4182B">
        <w:rPr>
          <w:rFonts w:ascii="Cambria" w:hAnsi="Cambria" w:cs="Times New Roman"/>
          <w:noProof/>
        </w:rPr>
        <w:t>. Tadulako University.</w:t>
      </w:r>
    </w:p>
    <w:p w14:paraId="69B790C3" w14:textId="77777777" w:rsidR="00C4182B" w:rsidRPr="00C4182B" w:rsidRDefault="00000000" w:rsidP="00C4182B">
      <w:pPr>
        <w:widowControl w:val="0"/>
        <w:autoSpaceDE w:val="0"/>
        <w:autoSpaceDN w:val="0"/>
        <w:adjustRightInd w:val="0"/>
        <w:spacing w:before="40" w:after="40" w:line="240" w:lineRule="auto"/>
        <w:ind w:left="480" w:hanging="480"/>
        <w:rPr>
          <w:rFonts w:ascii="Cambria" w:hAnsi="Cambria" w:cs="Times New Roman"/>
          <w:noProof/>
        </w:rPr>
      </w:pPr>
      <w:r w:rsidRPr="00C4182B">
        <w:rPr>
          <w:rFonts w:ascii="Cambria" w:hAnsi="Cambria" w:cs="Times New Roman"/>
          <w:noProof/>
        </w:rPr>
        <w:t xml:space="preserve">Finke, M., &amp; Winn, D. (2004). Insects and related arthropods: a nutritional primer for rehabilitators. </w:t>
      </w:r>
      <w:r w:rsidRPr="00C4182B">
        <w:rPr>
          <w:rFonts w:ascii="Cambria" w:hAnsi="Cambria" w:cs="Times New Roman"/>
          <w:i/>
          <w:iCs/>
          <w:noProof/>
        </w:rPr>
        <w:t>Journal of Wildlife Rehabilitation</w:t>
      </w:r>
      <w:r w:rsidRPr="00C4182B">
        <w:rPr>
          <w:rFonts w:ascii="Cambria" w:hAnsi="Cambria" w:cs="Times New Roman"/>
          <w:noProof/>
        </w:rPr>
        <w:t xml:space="preserve">, </w:t>
      </w:r>
      <w:r w:rsidRPr="00C4182B">
        <w:rPr>
          <w:rFonts w:ascii="Cambria" w:hAnsi="Cambria" w:cs="Times New Roman"/>
          <w:i/>
          <w:iCs/>
          <w:noProof/>
        </w:rPr>
        <w:t>27</w:t>
      </w:r>
      <w:r w:rsidRPr="00C4182B">
        <w:rPr>
          <w:rFonts w:ascii="Cambria" w:hAnsi="Cambria" w:cs="Times New Roman"/>
          <w:noProof/>
        </w:rPr>
        <w:t>(3/4), 14.</w:t>
      </w:r>
    </w:p>
    <w:p w14:paraId="423989DE" w14:textId="77777777" w:rsidR="00C4182B" w:rsidRPr="00E07FE2" w:rsidRDefault="00000000" w:rsidP="00C4182B">
      <w:pPr>
        <w:widowControl w:val="0"/>
        <w:autoSpaceDE w:val="0"/>
        <w:autoSpaceDN w:val="0"/>
        <w:adjustRightInd w:val="0"/>
        <w:spacing w:before="40" w:after="40" w:line="240" w:lineRule="auto"/>
        <w:ind w:left="480" w:hanging="480"/>
        <w:rPr>
          <w:rFonts w:ascii="Cambria" w:hAnsi="Cambria" w:cs="Times New Roman"/>
          <w:noProof/>
          <w:lang w:val="pt-BR"/>
        </w:rPr>
      </w:pPr>
      <w:r w:rsidRPr="00C4182B">
        <w:rPr>
          <w:rFonts w:ascii="Cambria" w:hAnsi="Cambria" w:cs="Times New Roman"/>
          <w:noProof/>
        </w:rPr>
        <w:t xml:space="preserve">Hadad, M.E.A., E. Randriani, C. Firman, &amp; T. S. (2018). </w:t>
      </w:r>
      <w:r w:rsidRPr="00E07FE2">
        <w:rPr>
          <w:rFonts w:ascii="Cambria" w:hAnsi="Cambria" w:cs="Times New Roman"/>
          <w:i/>
          <w:iCs/>
          <w:noProof/>
          <w:lang w:val="pt-BR"/>
        </w:rPr>
        <w:t>Budidaya Tanaman Pala</w:t>
      </w:r>
      <w:r w:rsidRPr="00E07FE2">
        <w:rPr>
          <w:rFonts w:ascii="Cambria" w:hAnsi="Cambria" w:cs="Times New Roman"/>
          <w:noProof/>
          <w:lang w:val="pt-BR"/>
        </w:rPr>
        <w:t>.</w:t>
      </w:r>
    </w:p>
    <w:p w14:paraId="346ADB3F" w14:textId="77777777" w:rsidR="00C4182B" w:rsidRPr="00E07FE2" w:rsidRDefault="00000000" w:rsidP="00C4182B">
      <w:pPr>
        <w:widowControl w:val="0"/>
        <w:autoSpaceDE w:val="0"/>
        <w:autoSpaceDN w:val="0"/>
        <w:adjustRightInd w:val="0"/>
        <w:spacing w:before="40" w:after="40" w:line="240" w:lineRule="auto"/>
        <w:ind w:left="480" w:hanging="480"/>
        <w:rPr>
          <w:rFonts w:ascii="Cambria" w:hAnsi="Cambria" w:cs="Times New Roman"/>
          <w:noProof/>
          <w:lang w:val="pt-BR"/>
        </w:rPr>
      </w:pPr>
      <w:r w:rsidRPr="00E07FE2">
        <w:rPr>
          <w:rFonts w:ascii="Cambria" w:hAnsi="Cambria" w:cs="Times New Roman"/>
          <w:noProof/>
          <w:lang w:val="pt-BR"/>
        </w:rPr>
        <w:t xml:space="preserve">Lubis, E. J. (2023). </w:t>
      </w:r>
      <w:r w:rsidRPr="00E07FE2">
        <w:rPr>
          <w:rFonts w:ascii="Cambria" w:hAnsi="Cambria" w:cs="Times New Roman"/>
          <w:i/>
          <w:iCs/>
          <w:noProof/>
          <w:lang w:val="pt-BR"/>
        </w:rPr>
        <w:t>Efektivitas Metode Pemupukan pada Pertumbuhan Dua Varietas Bibit Kelapa Sawit (Elaeis guineensis Jacq.) di Pembibitan Utama (Main Nursery)</w:t>
      </w:r>
      <w:r w:rsidRPr="00E07FE2">
        <w:rPr>
          <w:rFonts w:ascii="Cambria" w:hAnsi="Cambria" w:cs="Times New Roman"/>
          <w:noProof/>
          <w:lang w:val="pt-BR"/>
        </w:rPr>
        <w:t>. Universitas Sumatera Utara.</w:t>
      </w:r>
    </w:p>
    <w:p w14:paraId="0269D250" w14:textId="77777777" w:rsidR="00C4182B" w:rsidRPr="00C4182B" w:rsidRDefault="00000000" w:rsidP="00C4182B">
      <w:pPr>
        <w:widowControl w:val="0"/>
        <w:autoSpaceDE w:val="0"/>
        <w:autoSpaceDN w:val="0"/>
        <w:adjustRightInd w:val="0"/>
        <w:spacing w:before="40" w:after="40" w:line="240" w:lineRule="auto"/>
        <w:ind w:left="480" w:hanging="480"/>
        <w:rPr>
          <w:rFonts w:ascii="Cambria" w:hAnsi="Cambria" w:cs="Times New Roman"/>
          <w:noProof/>
        </w:rPr>
      </w:pPr>
      <w:r w:rsidRPr="00E07FE2">
        <w:rPr>
          <w:rFonts w:ascii="Cambria" w:hAnsi="Cambria" w:cs="Times New Roman"/>
          <w:noProof/>
          <w:lang w:val="pt-BR"/>
        </w:rPr>
        <w:t xml:space="preserve">Lubis, E. J., Rauf, A., &amp; Sarifuddin, S. (2023). </w:t>
      </w:r>
      <w:r w:rsidRPr="00C4182B">
        <w:rPr>
          <w:rFonts w:ascii="Cambria" w:hAnsi="Cambria" w:cs="Times New Roman"/>
          <w:noProof/>
        </w:rPr>
        <w:t xml:space="preserve">Effectiveness of Fertilization Techniques on Growth Two </w:t>
      </w:r>
      <w:r w:rsidRPr="00C4182B">
        <w:rPr>
          <w:rFonts w:ascii="Cambria" w:hAnsi="Cambria" w:cs="Times New Roman"/>
          <w:noProof/>
        </w:rPr>
        <w:lastRenderedPageBreak/>
        <w:t xml:space="preserve">Varieties of Palm Oil Seeds (Elaeis guineensis Jacq.) in Main Nursery. </w:t>
      </w:r>
      <w:r w:rsidRPr="00C4182B">
        <w:rPr>
          <w:rFonts w:ascii="Cambria" w:hAnsi="Cambria" w:cs="Times New Roman"/>
          <w:i/>
          <w:iCs/>
          <w:noProof/>
        </w:rPr>
        <w:t>Journal of Social Research</w:t>
      </w:r>
      <w:r w:rsidRPr="00C4182B">
        <w:rPr>
          <w:rFonts w:ascii="Cambria" w:hAnsi="Cambria" w:cs="Times New Roman"/>
          <w:noProof/>
        </w:rPr>
        <w:t xml:space="preserve">, </w:t>
      </w:r>
      <w:r w:rsidRPr="00C4182B">
        <w:rPr>
          <w:rFonts w:ascii="Cambria" w:hAnsi="Cambria" w:cs="Times New Roman"/>
          <w:i/>
          <w:iCs/>
          <w:noProof/>
        </w:rPr>
        <w:t>2</w:t>
      </w:r>
      <w:r w:rsidRPr="00C4182B">
        <w:rPr>
          <w:rFonts w:ascii="Cambria" w:hAnsi="Cambria" w:cs="Times New Roman"/>
          <w:noProof/>
        </w:rPr>
        <w:t>(8), 2759–2772.</w:t>
      </w:r>
    </w:p>
    <w:p w14:paraId="30B5F30C" w14:textId="77777777" w:rsidR="00C4182B" w:rsidRPr="00E07FE2" w:rsidRDefault="00000000" w:rsidP="00C4182B">
      <w:pPr>
        <w:widowControl w:val="0"/>
        <w:autoSpaceDE w:val="0"/>
        <w:autoSpaceDN w:val="0"/>
        <w:adjustRightInd w:val="0"/>
        <w:spacing w:before="40" w:after="40" w:line="240" w:lineRule="auto"/>
        <w:ind w:left="480" w:hanging="480"/>
        <w:rPr>
          <w:rFonts w:ascii="Cambria" w:hAnsi="Cambria" w:cs="Times New Roman"/>
          <w:noProof/>
          <w:lang w:val="pt-BR"/>
        </w:rPr>
      </w:pPr>
      <w:r w:rsidRPr="00C4182B">
        <w:rPr>
          <w:rFonts w:ascii="Cambria" w:hAnsi="Cambria" w:cs="Times New Roman"/>
          <w:noProof/>
        </w:rPr>
        <w:t xml:space="preserve">Maha, I. V., Elfrida, E., &amp; Sarjani, T. M. (2021). </w:t>
      </w:r>
      <w:r w:rsidRPr="00E07FE2">
        <w:rPr>
          <w:rFonts w:ascii="Cambria" w:hAnsi="Cambria" w:cs="Times New Roman"/>
          <w:noProof/>
          <w:lang w:val="pt-BR"/>
        </w:rPr>
        <w:t xml:space="preserve">Pemanfaatan Limbah Organik Sebagai Media Pakan Tenebrio molitor. </w:t>
      </w:r>
      <w:r w:rsidRPr="00E07FE2">
        <w:rPr>
          <w:rFonts w:ascii="Cambria" w:hAnsi="Cambria" w:cs="Times New Roman"/>
          <w:i/>
          <w:iCs/>
          <w:noProof/>
          <w:lang w:val="pt-BR"/>
        </w:rPr>
        <w:t>Jurnal Jeumpa</w:t>
      </w:r>
      <w:r w:rsidRPr="00E07FE2">
        <w:rPr>
          <w:rFonts w:ascii="Cambria" w:hAnsi="Cambria" w:cs="Times New Roman"/>
          <w:noProof/>
          <w:lang w:val="pt-BR"/>
        </w:rPr>
        <w:t xml:space="preserve">, </w:t>
      </w:r>
      <w:r w:rsidRPr="00E07FE2">
        <w:rPr>
          <w:rFonts w:ascii="Cambria" w:hAnsi="Cambria" w:cs="Times New Roman"/>
          <w:i/>
          <w:iCs/>
          <w:noProof/>
          <w:lang w:val="pt-BR"/>
        </w:rPr>
        <w:t>8</w:t>
      </w:r>
      <w:r w:rsidRPr="00E07FE2">
        <w:rPr>
          <w:rFonts w:ascii="Cambria" w:hAnsi="Cambria" w:cs="Times New Roman"/>
          <w:noProof/>
          <w:lang w:val="pt-BR"/>
        </w:rPr>
        <w:t>(1), 516–524.</w:t>
      </w:r>
    </w:p>
    <w:p w14:paraId="4F39DEBD" w14:textId="77777777" w:rsidR="00C4182B" w:rsidRPr="00E07FE2" w:rsidRDefault="00000000" w:rsidP="00C4182B">
      <w:pPr>
        <w:widowControl w:val="0"/>
        <w:autoSpaceDE w:val="0"/>
        <w:autoSpaceDN w:val="0"/>
        <w:adjustRightInd w:val="0"/>
        <w:spacing w:before="40" w:after="40" w:line="240" w:lineRule="auto"/>
        <w:ind w:left="480" w:hanging="480"/>
        <w:rPr>
          <w:rFonts w:ascii="Cambria" w:hAnsi="Cambria" w:cs="Times New Roman"/>
          <w:noProof/>
          <w:lang w:val="pt-BR"/>
        </w:rPr>
      </w:pPr>
      <w:r w:rsidRPr="00E07FE2">
        <w:rPr>
          <w:rFonts w:ascii="Cambria" w:hAnsi="Cambria" w:cs="Times New Roman"/>
          <w:noProof/>
          <w:lang w:val="pt-BR"/>
        </w:rPr>
        <w:t xml:space="preserve">Novizan. (2018). Petunjuk Pemupukan yang RelatifNo Title. </w:t>
      </w:r>
      <w:r w:rsidRPr="00E07FE2">
        <w:rPr>
          <w:rFonts w:ascii="Cambria" w:hAnsi="Cambria" w:cs="Times New Roman"/>
          <w:i/>
          <w:iCs/>
          <w:noProof/>
          <w:lang w:val="pt-BR"/>
        </w:rPr>
        <w:t>Agromedia</w:t>
      </w:r>
      <w:r w:rsidRPr="00E07FE2">
        <w:rPr>
          <w:rFonts w:ascii="Cambria" w:hAnsi="Cambria" w:cs="Times New Roman"/>
          <w:noProof/>
          <w:lang w:val="pt-BR"/>
        </w:rPr>
        <w:t>.</w:t>
      </w:r>
    </w:p>
    <w:p w14:paraId="7A22DF29" w14:textId="77777777" w:rsidR="00C4182B" w:rsidRPr="00C4182B" w:rsidRDefault="00000000" w:rsidP="00C4182B">
      <w:pPr>
        <w:widowControl w:val="0"/>
        <w:autoSpaceDE w:val="0"/>
        <w:autoSpaceDN w:val="0"/>
        <w:adjustRightInd w:val="0"/>
        <w:spacing w:before="40" w:after="40" w:line="240" w:lineRule="auto"/>
        <w:ind w:left="480" w:hanging="480"/>
        <w:rPr>
          <w:rFonts w:ascii="Cambria" w:hAnsi="Cambria" w:cs="Times New Roman"/>
          <w:noProof/>
        </w:rPr>
      </w:pPr>
      <w:r w:rsidRPr="00E07FE2">
        <w:rPr>
          <w:rFonts w:ascii="Cambria" w:hAnsi="Cambria" w:cs="Times New Roman"/>
          <w:noProof/>
          <w:lang w:val="pt-BR"/>
        </w:rPr>
        <w:t xml:space="preserve">Prajnanta, F. (2002). Agribisnis Cabai Hibrida. </w:t>
      </w:r>
      <w:r w:rsidRPr="00C4182B">
        <w:rPr>
          <w:rFonts w:ascii="Cambria" w:hAnsi="Cambria" w:cs="Times New Roman"/>
          <w:i/>
          <w:iCs/>
          <w:noProof/>
        </w:rPr>
        <w:t>Penebar Sawadaya</w:t>
      </w:r>
      <w:r w:rsidRPr="00C4182B">
        <w:rPr>
          <w:rFonts w:ascii="Cambria" w:hAnsi="Cambria" w:cs="Times New Roman"/>
          <w:noProof/>
        </w:rPr>
        <w:t>.</w:t>
      </w:r>
    </w:p>
    <w:p w14:paraId="26D81451" w14:textId="77777777" w:rsidR="00C4182B" w:rsidRPr="00C4182B" w:rsidRDefault="00000000" w:rsidP="00C4182B">
      <w:pPr>
        <w:widowControl w:val="0"/>
        <w:autoSpaceDE w:val="0"/>
        <w:autoSpaceDN w:val="0"/>
        <w:adjustRightInd w:val="0"/>
        <w:spacing w:before="40" w:after="40" w:line="240" w:lineRule="auto"/>
        <w:ind w:left="480" w:hanging="480"/>
        <w:rPr>
          <w:rFonts w:ascii="Cambria" w:hAnsi="Cambria" w:cs="Times New Roman"/>
          <w:noProof/>
        </w:rPr>
      </w:pPr>
      <w:r w:rsidRPr="00C4182B">
        <w:rPr>
          <w:rFonts w:ascii="Cambria" w:hAnsi="Cambria" w:cs="Times New Roman"/>
          <w:noProof/>
        </w:rPr>
        <w:t xml:space="preserve">Ruhnayat, A., &amp; Martini, E. (2015). </w:t>
      </w:r>
      <w:r w:rsidRPr="00E07FE2">
        <w:rPr>
          <w:rFonts w:ascii="Cambria" w:hAnsi="Cambria" w:cs="Times New Roman"/>
          <w:noProof/>
          <w:lang w:val="pt-BR"/>
        </w:rPr>
        <w:t xml:space="preserve">Budi Daya Pala pada Kebun Campur. </w:t>
      </w:r>
      <w:r w:rsidRPr="00C4182B">
        <w:rPr>
          <w:rFonts w:ascii="Cambria" w:hAnsi="Cambria" w:cs="Times New Roman"/>
          <w:i/>
          <w:iCs/>
          <w:noProof/>
        </w:rPr>
        <w:t>Balai Penelitian Tanaman Rempah Dan Obat</w:t>
      </w:r>
      <w:r w:rsidRPr="00C4182B">
        <w:rPr>
          <w:rFonts w:ascii="Cambria" w:hAnsi="Cambria" w:cs="Times New Roman"/>
          <w:noProof/>
        </w:rPr>
        <w:t>.</w:t>
      </w:r>
    </w:p>
    <w:p w14:paraId="4A903AF8" w14:textId="77777777" w:rsidR="00C4182B" w:rsidRPr="00C4182B" w:rsidRDefault="00000000" w:rsidP="00C4182B">
      <w:pPr>
        <w:widowControl w:val="0"/>
        <w:autoSpaceDE w:val="0"/>
        <w:autoSpaceDN w:val="0"/>
        <w:adjustRightInd w:val="0"/>
        <w:spacing w:before="40" w:after="40" w:line="240" w:lineRule="auto"/>
        <w:ind w:left="480" w:hanging="480"/>
        <w:rPr>
          <w:rFonts w:ascii="Cambria" w:hAnsi="Cambria"/>
          <w:noProof/>
        </w:rPr>
      </w:pPr>
      <w:r w:rsidRPr="00C4182B">
        <w:rPr>
          <w:rFonts w:ascii="Cambria" w:hAnsi="Cambria" w:cs="Times New Roman"/>
          <w:noProof/>
        </w:rPr>
        <w:t xml:space="preserve">Sutanto, R. (2002). Penerapan Pertanian Organik. </w:t>
      </w:r>
      <w:r w:rsidRPr="00C4182B">
        <w:rPr>
          <w:rFonts w:ascii="Cambria" w:hAnsi="Cambria" w:cs="Times New Roman"/>
          <w:i/>
          <w:iCs/>
          <w:noProof/>
        </w:rPr>
        <w:t>Permasyarakatan Dan Pengembangannya</w:t>
      </w:r>
      <w:r w:rsidRPr="00C4182B">
        <w:rPr>
          <w:rFonts w:ascii="Cambria" w:hAnsi="Cambria" w:cs="Times New Roman"/>
          <w:noProof/>
        </w:rPr>
        <w:t>.</w:t>
      </w:r>
    </w:p>
    <w:p w14:paraId="1A332A3E" w14:textId="77777777" w:rsidR="00AE5D06" w:rsidRPr="00354ED9" w:rsidRDefault="00000000" w:rsidP="002E4049">
      <w:pPr>
        <w:tabs>
          <w:tab w:val="left" w:pos="3130"/>
        </w:tabs>
        <w:spacing w:before="40" w:after="40" w:line="240" w:lineRule="auto"/>
        <w:ind w:left="567" w:hanging="567"/>
        <w:contextualSpacing/>
        <w:jc w:val="both"/>
        <w:rPr>
          <w:rFonts w:ascii="Cambria" w:hAnsi="Cambria" w:cs="Noto Serif"/>
          <w:shd w:val="clear" w:color="auto" w:fill="FFFFFF"/>
        </w:rPr>
      </w:pPr>
      <w:r>
        <w:rPr>
          <w:rFonts w:ascii="Cambria" w:hAnsi="Cambria" w:cs="Noto Serif"/>
          <w:shd w:val="clear" w:color="auto" w:fill="FFFFFF"/>
        </w:rPr>
        <w:fldChar w:fldCharType="end"/>
      </w:r>
    </w:p>
    <w:sectPr w:rsidR="00AE5D06" w:rsidRPr="00354ED9" w:rsidSect="001463BA">
      <w:headerReference w:type="default" r:id="rId10"/>
      <w:footerReference w:type="default" r:id="rId11"/>
      <w:pgSz w:w="11907" w:h="16840" w:code="9"/>
      <w:pgMar w:top="1134" w:right="1134" w:bottom="1134" w:left="1134" w:header="709" w:footer="709" w:gutter="0"/>
      <w:pgNumType w:start="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F9DDF" w14:textId="77777777" w:rsidR="005242EF" w:rsidRDefault="005242EF">
      <w:pPr>
        <w:spacing w:after="0" w:line="240" w:lineRule="auto"/>
      </w:pPr>
      <w:r>
        <w:separator/>
      </w:r>
    </w:p>
  </w:endnote>
  <w:endnote w:type="continuationSeparator" w:id="0">
    <w:p w14:paraId="1A02D685" w14:textId="77777777" w:rsidR="005242EF" w:rsidRDefault="00524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Noto Serif">
    <w:charset w:val="00"/>
    <w:family w:val="roman"/>
    <w:pitch w:val="variable"/>
    <w:sig w:usb0="E00002FF" w:usb1="500078FF" w:usb2="0000002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18"/>
        <w:szCs w:val="18"/>
      </w:rPr>
      <w:id w:val="-2085676171"/>
      <w:docPartObj>
        <w:docPartGallery w:val="Page Numbers (Bottom of Page)"/>
        <w:docPartUnique/>
      </w:docPartObj>
    </w:sdtPr>
    <w:sdtEndPr>
      <w:rPr>
        <w:noProof/>
      </w:rPr>
    </w:sdtEndPr>
    <w:sdtContent>
      <w:p w14:paraId="00961BBD" w14:textId="77777777" w:rsidR="00C8558A" w:rsidRPr="00C8558A" w:rsidRDefault="00000000" w:rsidP="00C8558A">
        <w:pPr>
          <w:pStyle w:val="Footer"/>
          <w:jc w:val="right"/>
          <w:rPr>
            <w:rFonts w:ascii="Garamond" w:hAnsi="Garamond"/>
            <w:sz w:val="18"/>
            <w:szCs w:val="18"/>
          </w:rPr>
        </w:pPr>
        <w:r w:rsidRPr="00C8558A">
          <w:rPr>
            <w:rFonts w:ascii="Garamond" w:hAnsi="Garamond"/>
            <w:sz w:val="18"/>
            <w:szCs w:val="18"/>
          </w:rPr>
          <w:fldChar w:fldCharType="begin"/>
        </w:r>
        <w:r w:rsidRPr="00C8558A">
          <w:rPr>
            <w:rFonts w:ascii="Garamond" w:hAnsi="Garamond"/>
            <w:sz w:val="18"/>
            <w:szCs w:val="18"/>
          </w:rPr>
          <w:instrText xml:space="preserve"> PAGE   \* MERGEFORMAT </w:instrText>
        </w:r>
        <w:r w:rsidRPr="00C8558A">
          <w:rPr>
            <w:rFonts w:ascii="Garamond" w:hAnsi="Garamond"/>
            <w:sz w:val="18"/>
            <w:szCs w:val="18"/>
          </w:rPr>
          <w:fldChar w:fldCharType="separate"/>
        </w:r>
        <w:r w:rsidRPr="00C8558A">
          <w:rPr>
            <w:rFonts w:ascii="Garamond" w:hAnsi="Garamond"/>
            <w:noProof/>
            <w:sz w:val="18"/>
            <w:szCs w:val="18"/>
          </w:rPr>
          <w:t>2</w:t>
        </w:r>
        <w:r w:rsidRPr="00C8558A">
          <w:rPr>
            <w:rFonts w:ascii="Garamond" w:hAnsi="Garamond"/>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749F" w14:textId="77777777" w:rsidR="005242EF" w:rsidRDefault="005242EF">
      <w:pPr>
        <w:spacing w:after="0" w:line="240" w:lineRule="auto"/>
      </w:pPr>
      <w:r>
        <w:separator/>
      </w:r>
    </w:p>
  </w:footnote>
  <w:footnote w:type="continuationSeparator" w:id="0">
    <w:p w14:paraId="28F314E4" w14:textId="77777777" w:rsidR="005242EF" w:rsidRDefault="00524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1F44" w14:textId="77777777" w:rsidR="00771179" w:rsidRPr="00905A94" w:rsidRDefault="00000000" w:rsidP="00905A94">
    <w:pPr>
      <w:pStyle w:val="Header"/>
      <w:spacing w:before="20" w:after="20"/>
      <w:rPr>
        <w:rFonts w:ascii="Garamond" w:hAnsi="Garamond"/>
        <w:sz w:val="20"/>
        <w:szCs w:val="20"/>
      </w:rPr>
    </w:pPr>
    <w:r>
      <w:rPr>
        <w:rFonts w:ascii="Garamond" w:hAnsi="Garamond"/>
        <w:noProof/>
        <w:sz w:val="20"/>
        <w:szCs w:val="20"/>
      </w:rPr>
      <w:drawing>
        <wp:anchor distT="0" distB="0" distL="114300" distR="114300" simplePos="0" relativeHeight="251658240" behindDoc="0" locked="0" layoutInCell="1" allowOverlap="1" wp14:anchorId="5A300C7F" wp14:editId="005C5369">
          <wp:simplePos x="0" y="0"/>
          <wp:positionH relativeFrom="page">
            <wp:posOffset>4445</wp:posOffset>
          </wp:positionH>
          <wp:positionV relativeFrom="paragraph">
            <wp:posOffset>-443865</wp:posOffset>
          </wp:positionV>
          <wp:extent cx="7550150" cy="1524000"/>
          <wp:effectExtent l="0" t="0" r="0" b="0"/>
          <wp:wrapSquare wrapText="bothSides"/>
          <wp:docPr id="647419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419104" name="Picture 647419104"/>
                  <pic:cNvPicPr/>
                </pic:nvPicPr>
                <pic:blipFill>
                  <a:blip r:embed="rId1">
                    <a:extLst>
                      <a:ext uri="{28A0092B-C50C-407E-A947-70E740481C1C}">
                        <a14:useLocalDpi xmlns:a14="http://schemas.microsoft.com/office/drawing/2010/main" val="0"/>
                      </a:ext>
                    </a:extLst>
                  </a:blip>
                  <a:stretch>
                    <a:fillRect/>
                  </a:stretch>
                </pic:blipFill>
                <pic:spPr>
                  <a:xfrm>
                    <a:off x="0" y="0"/>
                    <a:ext cx="7550150" cy="152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0B58"/>
    <w:multiLevelType w:val="hybridMultilevel"/>
    <w:tmpl w:val="DB828734"/>
    <w:lvl w:ilvl="0" w:tplc="4D60B2FA">
      <w:start w:val="1"/>
      <w:numFmt w:val="decimal"/>
      <w:lvlText w:val="%1)"/>
      <w:lvlJc w:val="left"/>
      <w:pPr>
        <w:ind w:left="360" w:hanging="360"/>
      </w:pPr>
      <w:rPr>
        <w:rFonts w:hint="default"/>
      </w:rPr>
    </w:lvl>
    <w:lvl w:ilvl="1" w:tplc="9BFCAEAC">
      <w:start w:val="1"/>
      <w:numFmt w:val="decimal"/>
      <w:lvlText w:val="%2)"/>
      <w:lvlJc w:val="left"/>
      <w:pPr>
        <w:ind w:left="360" w:hanging="360"/>
      </w:pPr>
      <w:rPr>
        <w:rFonts w:hint="default"/>
      </w:rPr>
    </w:lvl>
    <w:lvl w:ilvl="2" w:tplc="A720ED6C" w:tentative="1">
      <w:start w:val="1"/>
      <w:numFmt w:val="lowerRoman"/>
      <w:lvlText w:val="%3."/>
      <w:lvlJc w:val="right"/>
      <w:pPr>
        <w:ind w:left="1800" w:hanging="180"/>
      </w:pPr>
    </w:lvl>
    <w:lvl w:ilvl="3" w:tplc="DD1AA8BA" w:tentative="1">
      <w:start w:val="1"/>
      <w:numFmt w:val="decimal"/>
      <w:lvlText w:val="%4."/>
      <w:lvlJc w:val="left"/>
      <w:pPr>
        <w:ind w:left="2520" w:hanging="360"/>
      </w:pPr>
    </w:lvl>
    <w:lvl w:ilvl="4" w:tplc="7E0AB038" w:tentative="1">
      <w:start w:val="1"/>
      <w:numFmt w:val="lowerLetter"/>
      <w:lvlText w:val="%5."/>
      <w:lvlJc w:val="left"/>
      <w:pPr>
        <w:ind w:left="3240" w:hanging="360"/>
      </w:pPr>
    </w:lvl>
    <w:lvl w:ilvl="5" w:tplc="C646FA2A" w:tentative="1">
      <w:start w:val="1"/>
      <w:numFmt w:val="lowerRoman"/>
      <w:lvlText w:val="%6."/>
      <w:lvlJc w:val="right"/>
      <w:pPr>
        <w:ind w:left="3960" w:hanging="180"/>
      </w:pPr>
    </w:lvl>
    <w:lvl w:ilvl="6" w:tplc="AF2CAE3A" w:tentative="1">
      <w:start w:val="1"/>
      <w:numFmt w:val="decimal"/>
      <w:lvlText w:val="%7."/>
      <w:lvlJc w:val="left"/>
      <w:pPr>
        <w:ind w:left="4680" w:hanging="360"/>
      </w:pPr>
    </w:lvl>
    <w:lvl w:ilvl="7" w:tplc="686A28E8" w:tentative="1">
      <w:start w:val="1"/>
      <w:numFmt w:val="lowerLetter"/>
      <w:lvlText w:val="%8."/>
      <w:lvlJc w:val="left"/>
      <w:pPr>
        <w:ind w:left="5400" w:hanging="360"/>
      </w:pPr>
    </w:lvl>
    <w:lvl w:ilvl="8" w:tplc="D2F82BCA" w:tentative="1">
      <w:start w:val="1"/>
      <w:numFmt w:val="lowerRoman"/>
      <w:lvlText w:val="%9."/>
      <w:lvlJc w:val="right"/>
      <w:pPr>
        <w:ind w:left="6120" w:hanging="180"/>
      </w:pPr>
    </w:lvl>
  </w:abstractNum>
  <w:abstractNum w:abstractNumId="1" w15:restartNumberingAfterBreak="0">
    <w:nsid w:val="192E3C44"/>
    <w:multiLevelType w:val="hybridMultilevel"/>
    <w:tmpl w:val="8DA0B652"/>
    <w:lvl w:ilvl="0" w:tplc="D522F1B2">
      <w:start w:val="1"/>
      <w:numFmt w:val="decimal"/>
      <w:lvlText w:val="%1."/>
      <w:lvlJc w:val="left"/>
      <w:pPr>
        <w:ind w:left="360" w:hanging="360"/>
      </w:pPr>
    </w:lvl>
    <w:lvl w:ilvl="1" w:tplc="F2B0DC5A" w:tentative="1">
      <w:start w:val="1"/>
      <w:numFmt w:val="lowerLetter"/>
      <w:lvlText w:val="%2."/>
      <w:lvlJc w:val="left"/>
      <w:pPr>
        <w:ind w:left="1080" w:hanging="360"/>
      </w:pPr>
    </w:lvl>
    <w:lvl w:ilvl="2" w:tplc="F9721D98" w:tentative="1">
      <w:start w:val="1"/>
      <w:numFmt w:val="lowerRoman"/>
      <w:lvlText w:val="%3."/>
      <w:lvlJc w:val="right"/>
      <w:pPr>
        <w:ind w:left="1800" w:hanging="180"/>
      </w:pPr>
    </w:lvl>
    <w:lvl w:ilvl="3" w:tplc="9CFE6CBA" w:tentative="1">
      <w:start w:val="1"/>
      <w:numFmt w:val="decimal"/>
      <w:lvlText w:val="%4."/>
      <w:lvlJc w:val="left"/>
      <w:pPr>
        <w:ind w:left="2520" w:hanging="360"/>
      </w:pPr>
    </w:lvl>
    <w:lvl w:ilvl="4" w:tplc="79B80C86" w:tentative="1">
      <w:start w:val="1"/>
      <w:numFmt w:val="lowerLetter"/>
      <w:lvlText w:val="%5."/>
      <w:lvlJc w:val="left"/>
      <w:pPr>
        <w:ind w:left="3240" w:hanging="360"/>
      </w:pPr>
    </w:lvl>
    <w:lvl w:ilvl="5" w:tplc="D81E920A" w:tentative="1">
      <w:start w:val="1"/>
      <w:numFmt w:val="lowerRoman"/>
      <w:lvlText w:val="%6."/>
      <w:lvlJc w:val="right"/>
      <w:pPr>
        <w:ind w:left="3960" w:hanging="180"/>
      </w:pPr>
    </w:lvl>
    <w:lvl w:ilvl="6" w:tplc="F3DAAFF8" w:tentative="1">
      <w:start w:val="1"/>
      <w:numFmt w:val="decimal"/>
      <w:lvlText w:val="%7."/>
      <w:lvlJc w:val="left"/>
      <w:pPr>
        <w:ind w:left="4680" w:hanging="360"/>
      </w:pPr>
    </w:lvl>
    <w:lvl w:ilvl="7" w:tplc="3BC6752A" w:tentative="1">
      <w:start w:val="1"/>
      <w:numFmt w:val="lowerLetter"/>
      <w:lvlText w:val="%8."/>
      <w:lvlJc w:val="left"/>
      <w:pPr>
        <w:ind w:left="5400" w:hanging="360"/>
      </w:pPr>
    </w:lvl>
    <w:lvl w:ilvl="8" w:tplc="665A2178" w:tentative="1">
      <w:start w:val="1"/>
      <w:numFmt w:val="lowerRoman"/>
      <w:lvlText w:val="%9."/>
      <w:lvlJc w:val="right"/>
      <w:pPr>
        <w:ind w:left="6120" w:hanging="180"/>
      </w:pPr>
    </w:lvl>
  </w:abstractNum>
  <w:abstractNum w:abstractNumId="2" w15:restartNumberingAfterBreak="0">
    <w:nsid w:val="27AB759D"/>
    <w:multiLevelType w:val="hybridMultilevel"/>
    <w:tmpl w:val="CF42D1F2"/>
    <w:lvl w:ilvl="0" w:tplc="286AB354">
      <w:start w:val="1"/>
      <w:numFmt w:val="bullet"/>
      <w:lvlText w:val=""/>
      <w:lvlJc w:val="left"/>
      <w:pPr>
        <w:ind w:left="360" w:hanging="360"/>
      </w:pPr>
      <w:rPr>
        <w:rFonts w:ascii="Symbol" w:hAnsi="Symbol" w:hint="default"/>
      </w:rPr>
    </w:lvl>
    <w:lvl w:ilvl="1" w:tplc="2CB464F4" w:tentative="1">
      <w:start w:val="1"/>
      <w:numFmt w:val="bullet"/>
      <w:lvlText w:val="o"/>
      <w:lvlJc w:val="left"/>
      <w:pPr>
        <w:ind w:left="1222" w:hanging="360"/>
      </w:pPr>
      <w:rPr>
        <w:rFonts w:ascii="Courier New" w:hAnsi="Courier New" w:cs="Courier New" w:hint="default"/>
      </w:rPr>
    </w:lvl>
    <w:lvl w:ilvl="2" w:tplc="449A18F2" w:tentative="1">
      <w:start w:val="1"/>
      <w:numFmt w:val="bullet"/>
      <w:lvlText w:val=""/>
      <w:lvlJc w:val="left"/>
      <w:pPr>
        <w:ind w:left="1942" w:hanging="360"/>
      </w:pPr>
      <w:rPr>
        <w:rFonts w:ascii="Wingdings" w:hAnsi="Wingdings" w:hint="default"/>
      </w:rPr>
    </w:lvl>
    <w:lvl w:ilvl="3" w:tplc="61F2082A" w:tentative="1">
      <w:start w:val="1"/>
      <w:numFmt w:val="bullet"/>
      <w:lvlText w:val=""/>
      <w:lvlJc w:val="left"/>
      <w:pPr>
        <w:ind w:left="2662" w:hanging="360"/>
      </w:pPr>
      <w:rPr>
        <w:rFonts w:ascii="Symbol" w:hAnsi="Symbol" w:hint="default"/>
      </w:rPr>
    </w:lvl>
    <w:lvl w:ilvl="4" w:tplc="6DAA6D80" w:tentative="1">
      <w:start w:val="1"/>
      <w:numFmt w:val="bullet"/>
      <w:lvlText w:val="o"/>
      <w:lvlJc w:val="left"/>
      <w:pPr>
        <w:ind w:left="3382" w:hanging="360"/>
      </w:pPr>
      <w:rPr>
        <w:rFonts w:ascii="Courier New" w:hAnsi="Courier New" w:cs="Courier New" w:hint="default"/>
      </w:rPr>
    </w:lvl>
    <w:lvl w:ilvl="5" w:tplc="384C3E60" w:tentative="1">
      <w:start w:val="1"/>
      <w:numFmt w:val="bullet"/>
      <w:lvlText w:val=""/>
      <w:lvlJc w:val="left"/>
      <w:pPr>
        <w:ind w:left="4102" w:hanging="360"/>
      </w:pPr>
      <w:rPr>
        <w:rFonts w:ascii="Wingdings" w:hAnsi="Wingdings" w:hint="default"/>
      </w:rPr>
    </w:lvl>
    <w:lvl w:ilvl="6" w:tplc="7DC097C6" w:tentative="1">
      <w:start w:val="1"/>
      <w:numFmt w:val="bullet"/>
      <w:lvlText w:val=""/>
      <w:lvlJc w:val="left"/>
      <w:pPr>
        <w:ind w:left="4822" w:hanging="360"/>
      </w:pPr>
      <w:rPr>
        <w:rFonts w:ascii="Symbol" w:hAnsi="Symbol" w:hint="default"/>
      </w:rPr>
    </w:lvl>
    <w:lvl w:ilvl="7" w:tplc="03785194" w:tentative="1">
      <w:start w:val="1"/>
      <w:numFmt w:val="bullet"/>
      <w:lvlText w:val="o"/>
      <w:lvlJc w:val="left"/>
      <w:pPr>
        <w:ind w:left="5542" w:hanging="360"/>
      </w:pPr>
      <w:rPr>
        <w:rFonts w:ascii="Courier New" w:hAnsi="Courier New" w:cs="Courier New" w:hint="default"/>
      </w:rPr>
    </w:lvl>
    <w:lvl w:ilvl="8" w:tplc="246ED1AC" w:tentative="1">
      <w:start w:val="1"/>
      <w:numFmt w:val="bullet"/>
      <w:lvlText w:val=""/>
      <w:lvlJc w:val="left"/>
      <w:pPr>
        <w:ind w:left="6262" w:hanging="360"/>
      </w:pPr>
      <w:rPr>
        <w:rFonts w:ascii="Wingdings" w:hAnsi="Wingdings" w:hint="default"/>
      </w:rPr>
    </w:lvl>
  </w:abstractNum>
  <w:abstractNum w:abstractNumId="3" w15:restartNumberingAfterBreak="0">
    <w:nsid w:val="29030D21"/>
    <w:multiLevelType w:val="multilevel"/>
    <w:tmpl w:val="4F5254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0D4FC2"/>
    <w:multiLevelType w:val="hybridMultilevel"/>
    <w:tmpl w:val="3B023722"/>
    <w:lvl w:ilvl="0" w:tplc="F5AED25A">
      <w:start w:val="1"/>
      <w:numFmt w:val="decimal"/>
      <w:lvlText w:val="%1."/>
      <w:lvlJc w:val="left"/>
      <w:pPr>
        <w:ind w:left="360" w:hanging="360"/>
      </w:pPr>
    </w:lvl>
    <w:lvl w:ilvl="1" w:tplc="582AB6D4" w:tentative="1">
      <w:start w:val="1"/>
      <w:numFmt w:val="lowerLetter"/>
      <w:lvlText w:val="%2."/>
      <w:lvlJc w:val="left"/>
      <w:pPr>
        <w:ind w:left="1080" w:hanging="360"/>
      </w:pPr>
    </w:lvl>
    <w:lvl w:ilvl="2" w:tplc="7650384E" w:tentative="1">
      <w:start w:val="1"/>
      <w:numFmt w:val="lowerRoman"/>
      <w:lvlText w:val="%3."/>
      <w:lvlJc w:val="right"/>
      <w:pPr>
        <w:ind w:left="1800" w:hanging="180"/>
      </w:pPr>
    </w:lvl>
    <w:lvl w:ilvl="3" w:tplc="6B400BBA" w:tentative="1">
      <w:start w:val="1"/>
      <w:numFmt w:val="decimal"/>
      <w:lvlText w:val="%4."/>
      <w:lvlJc w:val="left"/>
      <w:pPr>
        <w:ind w:left="2520" w:hanging="360"/>
      </w:pPr>
    </w:lvl>
    <w:lvl w:ilvl="4" w:tplc="20CE02BC" w:tentative="1">
      <w:start w:val="1"/>
      <w:numFmt w:val="lowerLetter"/>
      <w:lvlText w:val="%5."/>
      <w:lvlJc w:val="left"/>
      <w:pPr>
        <w:ind w:left="3240" w:hanging="360"/>
      </w:pPr>
    </w:lvl>
    <w:lvl w:ilvl="5" w:tplc="274CDA4A" w:tentative="1">
      <w:start w:val="1"/>
      <w:numFmt w:val="lowerRoman"/>
      <w:lvlText w:val="%6."/>
      <w:lvlJc w:val="right"/>
      <w:pPr>
        <w:ind w:left="3960" w:hanging="180"/>
      </w:pPr>
    </w:lvl>
    <w:lvl w:ilvl="6" w:tplc="C1428AEA" w:tentative="1">
      <w:start w:val="1"/>
      <w:numFmt w:val="decimal"/>
      <w:lvlText w:val="%7."/>
      <w:lvlJc w:val="left"/>
      <w:pPr>
        <w:ind w:left="4680" w:hanging="360"/>
      </w:pPr>
    </w:lvl>
    <w:lvl w:ilvl="7" w:tplc="9CA02CA4" w:tentative="1">
      <w:start w:val="1"/>
      <w:numFmt w:val="lowerLetter"/>
      <w:lvlText w:val="%8."/>
      <w:lvlJc w:val="left"/>
      <w:pPr>
        <w:ind w:left="5400" w:hanging="360"/>
      </w:pPr>
    </w:lvl>
    <w:lvl w:ilvl="8" w:tplc="E968C848" w:tentative="1">
      <w:start w:val="1"/>
      <w:numFmt w:val="lowerRoman"/>
      <w:lvlText w:val="%9."/>
      <w:lvlJc w:val="right"/>
      <w:pPr>
        <w:ind w:left="6120" w:hanging="180"/>
      </w:pPr>
    </w:lvl>
  </w:abstractNum>
  <w:abstractNum w:abstractNumId="5" w15:restartNumberingAfterBreak="0">
    <w:nsid w:val="4D061EE3"/>
    <w:multiLevelType w:val="hybridMultilevel"/>
    <w:tmpl w:val="24006B8E"/>
    <w:lvl w:ilvl="0" w:tplc="DAB62624">
      <w:start w:val="1"/>
      <w:numFmt w:val="decimal"/>
      <w:lvlText w:val="%1."/>
      <w:lvlJc w:val="left"/>
      <w:pPr>
        <w:ind w:left="360" w:hanging="360"/>
      </w:pPr>
    </w:lvl>
    <w:lvl w:ilvl="1" w:tplc="7E3EA57A" w:tentative="1">
      <w:start w:val="1"/>
      <w:numFmt w:val="lowerLetter"/>
      <w:lvlText w:val="%2."/>
      <w:lvlJc w:val="left"/>
      <w:pPr>
        <w:ind w:left="1080" w:hanging="360"/>
      </w:pPr>
    </w:lvl>
    <w:lvl w:ilvl="2" w:tplc="CB26E948" w:tentative="1">
      <w:start w:val="1"/>
      <w:numFmt w:val="lowerRoman"/>
      <w:lvlText w:val="%3."/>
      <w:lvlJc w:val="right"/>
      <w:pPr>
        <w:ind w:left="1800" w:hanging="180"/>
      </w:pPr>
    </w:lvl>
    <w:lvl w:ilvl="3" w:tplc="EECCA032" w:tentative="1">
      <w:start w:val="1"/>
      <w:numFmt w:val="decimal"/>
      <w:lvlText w:val="%4."/>
      <w:lvlJc w:val="left"/>
      <w:pPr>
        <w:ind w:left="2520" w:hanging="360"/>
      </w:pPr>
    </w:lvl>
    <w:lvl w:ilvl="4" w:tplc="29CE0D8C" w:tentative="1">
      <w:start w:val="1"/>
      <w:numFmt w:val="lowerLetter"/>
      <w:lvlText w:val="%5."/>
      <w:lvlJc w:val="left"/>
      <w:pPr>
        <w:ind w:left="3240" w:hanging="360"/>
      </w:pPr>
    </w:lvl>
    <w:lvl w:ilvl="5" w:tplc="236C2B72" w:tentative="1">
      <w:start w:val="1"/>
      <w:numFmt w:val="lowerRoman"/>
      <w:lvlText w:val="%6."/>
      <w:lvlJc w:val="right"/>
      <w:pPr>
        <w:ind w:left="3960" w:hanging="180"/>
      </w:pPr>
    </w:lvl>
    <w:lvl w:ilvl="6" w:tplc="29FC2A38" w:tentative="1">
      <w:start w:val="1"/>
      <w:numFmt w:val="decimal"/>
      <w:lvlText w:val="%7."/>
      <w:lvlJc w:val="left"/>
      <w:pPr>
        <w:ind w:left="4680" w:hanging="360"/>
      </w:pPr>
    </w:lvl>
    <w:lvl w:ilvl="7" w:tplc="238C3B3E" w:tentative="1">
      <w:start w:val="1"/>
      <w:numFmt w:val="lowerLetter"/>
      <w:lvlText w:val="%8."/>
      <w:lvlJc w:val="left"/>
      <w:pPr>
        <w:ind w:left="5400" w:hanging="360"/>
      </w:pPr>
    </w:lvl>
    <w:lvl w:ilvl="8" w:tplc="4C24744A" w:tentative="1">
      <w:start w:val="1"/>
      <w:numFmt w:val="lowerRoman"/>
      <w:lvlText w:val="%9."/>
      <w:lvlJc w:val="right"/>
      <w:pPr>
        <w:ind w:left="6120" w:hanging="180"/>
      </w:pPr>
    </w:lvl>
  </w:abstractNum>
  <w:abstractNum w:abstractNumId="6" w15:restartNumberingAfterBreak="0">
    <w:nsid w:val="58AD2CDD"/>
    <w:multiLevelType w:val="hybridMultilevel"/>
    <w:tmpl w:val="9A38DA64"/>
    <w:lvl w:ilvl="0" w:tplc="011A7AE0">
      <w:start w:val="1"/>
      <w:numFmt w:val="lowerLetter"/>
      <w:lvlText w:val="%1."/>
      <w:lvlJc w:val="left"/>
      <w:pPr>
        <w:ind w:left="644" w:hanging="360"/>
      </w:pPr>
      <w:rPr>
        <w:rFonts w:hint="default"/>
      </w:rPr>
    </w:lvl>
    <w:lvl w:ilvl="1" w:tplc="4746DD58" w:tentative="1">
      <w:start w:val="1"/>
      <w:numFmt w:val="lowerLetter"/>
      <w:lvlText w:val="%2."/>
      <w:lvlJc w:val="left"/>
      <w:pPr>
        <w:ind w:left="1364" w:hanging="360"/>
      </w:pPr>
    </w:lvl>
    <w:lvl w:ilvl="2" w:tplc="17CE7F7A" w:tentative="1">
      <w:start w:val="1"/>
      <w:numFmt w:val="lowerRoman"/>
      <w:lvlText w:val="%3."/>
      <w:lvlJc w:val="right"/>
      <w:pPr>
        <w:ind w:left="2084" w:hanging="180"/>
      </w:pPr>
    </w:lvl>
    <w:lvl w:ilvl="3" w:tplc="06B6D6AE" w:tentative="1">
      <w:start w:val="1"/>
      <w:numFmt w:val="decimal"/>
      <w:lvlText w:val="%4."/>
      <w:lvlJc w:val="left"/>
      <w:pPr>
        <w:ind w:left="2804" w:hanging="360"/>
      </w:pPr>
    </w:lvl>
    <w:lvl w:ilvl="4" w:tplc="50D6705A" w:tentative="1">
      <w:start w:val="1"/>
      <w:numFmt w:val="lowerLetter"/>
      <w:lvlText w:val="%5."/>
      <w:lvlJc w:val="left"/>
      <w:pPr>
        <w:ind w:left="3524" w:hanging="360"/>
      </w:pPr>
    </w:lvl>
    <w:lvl w:ilvl="5" w:tplc="C9FC65C6" w:tentative="1">
      <w:start w:val="1"/>
      <w:numFmt w:val="lowerRoman"/>
      <w:lvlText w:val="%6."/>
      <w:lvlJc w:val="right"/>
      <w:pPr>
        <w:ind w:left="4244" w:hanging="180"/>
      </w:pPr>
    </w:lvl>
    <w:lvl w:ilvl="6" w:tplc="B73AA802" w:tentative="1">
      <w:start w:val="1"/>
      <w:numFmt w:val="decimal"/>
      <w:lvlText w:val="%7."/>
      <w:lvlJc w:val="left"/>
      <w:pPr>
        <w:ind w:left="4964" w:hanging="360"/>
      </w:pPr>
    </w:lvl>
    <w:lvl w:ilvl="7" w:tplc="F4BA313A" w:tentative="1">
      <w:start w:val="1"/>
      <w:numFmt w:val="lowerLetter"/>
      <w:lvlText w:val="%8."/>
      <w:lvlJc w:val="left"/>
      <w:pPr>
        <w:ind w:left="5684" w:hanging="360"/>
      </w:pPr>
    </w:lvl>
    <w:lvl w:ilvl="8" w:tplc="E87A28A0" w:tentative="1">
      <w:start w:val="1"/>
      <w:numFmt w:val="lowerRoman"/>
      <w:lvlText w:val="%9."/>
      <w:lvlJc w:val="right"/>
      <w:pPr>
        <w:ind w:left="6404" w:hanging="180"/>
      </w:pPr>
    </w:lvl>
  </w:abstractNum>
  <w:abstractNum w:abstractNumId="7" w15:restartNumberingAfterBreak="0">
    <w:nsid w:val="67987302"/>
    <w:multiLevelType w:val="hybridMultilevel"/>
    <w:tmpl w:val="CA6E8CB8"/>
    <w:lvl w:ilvl="0" w:tplc="FB187156">
      <w:start w:val="1"/>
      <w:numFmt w:val="decimal"/>
      <w:lvlText w:val="%1."/>
      <w:lvlJc w:val="left"/>
      <w:pPr>
        <w:ind w:left="360" w:hanging="360"/>
      </w:pPr>
    </w:lvl>
    <w:lvl w:ilvl="1" w:tplc="7D6C21C4" w:tentative="1">
      <w:start w:val="1"/>
      <w:numFmt w:val="lowerLetter"/>
      <w:lvlText w:val="%2."/>
      <w:lvlJc w:val="left"/>
      <w:pPr>
        <w:ind w:left="1080" w:hanging="360"/>
      </w:pPr>
    </w:lvl>
    <w:lvl w:ilvl="2" w:tplc="A8B836F2" w:tentative="1">
      <w:start w:val="1"/>
      <w:numFmt w:val="lowerRoman"/>
      <w:lvlText w:val="%3."/>
      <w:lvlJc w:val="right"/>
      <w:pPr>
        <w:ind w:left="1800" w:hanging="180"/>
      </w:pPr>
    </w:lvl>
    <w:lvl w:ilvl="3" w:tplc="4CC6B434" w:tentative="1">
      <w:start w:val="1"/>
      <w:numFmt w:val="decimal"/>
      <w:lvlText w:val="%4."/>
      <w:lvlJc w:val="left"/>
      <w:pPr>
        <w:ind w:left="2520" w:hanging="360"/>
      </w:pPr>
    </w:lvl>
    <w:lvl w:ilvl="4" w:tplc="9E5CAA3E" w:tentative="1">
      <w:start w:val="1"/>
      <w:numFmt w:val="lowerLetter"/>
      <w:lvlText w:val="%5."/>
      <w:lvlJc w:val="left"/>
      <w:pPr>
        <w:ind w:left="3240" w:hanging="360"/>
      </w:pPr>
    </w:lvl>
    <w:lvl w:ilvl="5" w:tplc="828EECFE" w:tentative="1">
      <w:start w:val="1"/>
      <w:numFmt w:val="lowerRoman"/>
      <w:lvlText w:val="%6."/>
      <w:lvlJc w:val="right"/>
      <w:pPr>
        <w:ind w:left="3960" w:hanging="180"/>
      </w:pPr>
    </w:lvl>
    <w:lvl w:ilvl="6" w:tplc="564E41E0" w:tentative="1">
      <w:start w:val="1"/>
      <w:numFmt w:val="decimal"/>
      <w:lvlText w:val="%7."/>
      <w:lvlJc w:val="left"/>
      <w:pPr>
        <w:ind w:left="4680" w:hanging="360"/>
      </w:pPr>
    </w:lvl>
    <w:lvl w:ilvl="7" w:tplc="A4642FE4" w:tentative="1">
      <w:start w:val="1"/>
      <w:numFmt w:val="lowerLetter"/>
      <w:lvlText w:val="%8."/>
      <w:lvlJc w:val="left"/>
      <w:pPr>
        <w:ind w:left="5400" w:hanging="360"/>
      </w:pPr>
    </w:lvl>
    <w:lvl w:ilvl="8" w:tplc="86EEFFAE" w:tentative="1">
      <w:start w:val="1"/>
      <w:numFmt w:val="lowerRoman"/>
      <w:lvlText w:val="%9."/>
      <w:lvlJc w:val="right"/>
      <w:pPr>
        <w:ind w:left="6120" w:hanging="180"/>
      </w:pPr>
    </w:lvl>
  </w:abstractNum>
  <w:num w:numId="1" w16cid:durableId="1661078707">
    <w:abstractNumId w:val="7"/>
  </w:num>
  <w:num w:numId="2" w16cid:durableId="26488455">
    <w:abstractNumId w:val="2"/>
  </w:num>
  <w:num w:numId="3" w16cid:durableId="453015160">
    <w:abstractNumId w:val="1"/>
  </w:num>
  <w:num w:numId="4" w16cid:durableId="2143305954">
    <w:abstractNumId w:val="5"/>
  </w:num>
  <w:num w:numId="5" w16cid:durableId="39328580">
    <w:abstractNumId w:val="4"/>
  </w:num>
  <w:num w:numId="6" w16cid:durableId="910391331">
    <w:abstractNumId w:val="0"/>
  </w:num>
  <w:num w:numId="7" w16cid:durableId="912080893">
    <w:abstractNumId w:val="3"/>
  </w:num>
  <w:num w:numId="8" w16cid:durableId="1039629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0D1"/>
    <w:rsid w:val="00011347"/>
    <w:rsid w:val="00017468"/>
    <w:rsid w:val="00017DD9"/>
    <w:rsid w:val="00027BE3"/>
    <w:rsid w:val="00034A00"/>
    <w:rsid w:val="0003512F"/>
    <w:rsid w:val="00041BB9"/>
    <w:rsid w:val="00043E61"/>
    <w:rsid w:val="00045435"/>
    <w:rsid w:val="00055F04"/>
    <w:rsid w:val="00057184"/>
    <w:rsid w:val="00057323"/>
    <w:rsid w:val="00064505"/>
    <w:rsid w:val="00066E0A"/>
    <w:rsid w:val="000678FC"/>
    <w:rsid w:val="000760B9"/>
    <w:rsid w:val="000763AA"/>
    <w:rsid w:val="000863AD"/>
    <w:rsid w:val="00091659"/>
    <w:rsid w:val="00093F02"/>
    <w:rsid w:val="00094684"/>
    <w:rsid w:val="000A349A"/>
    <w:rsid w:val="000B5F50"/>
    <w:rsid w:val="000C0071"/>
    <w:rsid w:val="000C3760"/>
    <w:rsid w:val="000D002C"/>
    <w:rsid w:val="000D1257"/>
    <w:rsid w:val="000E59A3"/>
    <w:rsid w:val="000F4CCD"/>
    <w:rsid w:val="000F4DCC"/>
    <w:rsid w:val="000F668A"/>
    <w:rsid w:val="00101777"/>
    <w:rsid w:val="0011128D"/>
    <w:rsid w:val="00115F24"/>
    <w:rsid w:val="0012039F"/>
    <w:rsid w:val="00120548"/>
    <w:rsid w:val="00121299"/>
    <w:rsid w:val="0012272F"/>
    <w:rsid w:val="001229BD"/>
    <w:rsid w:val="001257B6"/>
    <w:rsid w:val="001278BB"/>
    <w:rsid w:val="00137724"/>
    <w:rsid w:val="0014146E"/>
    <w:rsid w:val="00141534"/>
    <w:rsid w:val="0014487D"/>
    <w:rsid w:val="00144C90"/>
    <w:rsid w:val="001463BA"/>
    <w:rsid w:val="001476A8"/>
    <w:rsid w:val="00150745"/>
    <w:rsid w:val="00150B4C"/>
    <w:rsid w:val="00150DEC"/>
    <w:rsid w:val="001655FA"/>
    <w:rsid w:val="001761FD"/>
    <w:rsid w:val="00182DAB"/>
    <w:rsid w:val="00190539"/>
    <w:rsid w:val="0019647A"/>
    <w:rsid w:val="001A188A"/>
    <w:rsid w:val="001A3A8E"/>
    <w:rsid w:val="001A69FF"/>
    <w:rsid w:val="001A6AE4"/>
    <w:rsid w:val="001B4555"/>
    <w:rsid w:val="001C77CA"/>
    <w:rsid w:val="001D1C2F"/>
    <w:rsid w:val="001E15E7"/>
    <w:rsid w:val="001E1B80"/>
    <w:rsid w:val="001E4481"/>
    <w:rsid w:val="001E72B4"/>
    <w:rsid w:val="001F0700"/>
    <w:rsid w:val="001F3ADE"/>
    <w:rsid w:val="001F6937"/>
    <w:rsid w:val="00214187"/>
    <w:rsid w:val="002156EF"/>
    <w:rsid w:val="0021724A"/>
    <w:rsid w:val="0022087C"/>
    <w:rsid w:val="00234673"/>
    <w:rsid w:val="00250B38"/>
    <w:rsid w:val="0025159F"/>
    <w:rsid w:val="00256CB6"/>
    <w:rsid w:val="002617FB"/>
    <w:rsid w:val="00264D6A"/>
    <w:rsid w:val="00267530"/>
    <w:rsid w:val="002721C4"/>
    <w:rsid w:val="00274947"/>
    <w:rsid w:val="00275CB7"/>
    <w:rsid w:val="00280DAB"/>
    <w:rsid w:val="00283560"/>
    <w:rsid w:val="002848EF"/>
    <w:rsid w:val="002867DE"/>
    <w:rsid w:val="002A0E72"/>
    <w:rsid w:val="002A5135"/>
    <w:rsid w:val="002B0F1B"/>
    <w:rsid w:val="002B7F68"/>
    <w:rsid w:val="002C0899"/>
    <w:rsid w:val="002C5BF8"/>
    <w:rsid w:val="002D3092"/>
    <w:rsid w:val="002E16EC"/>
    <w:rsid w:val="002E4049"/>
    <w:rsid w:val="002E404B"/>
    <w:rsid w:val="002E7A05"/>
    <w:rsid w:val="002F7610"/>
    <w:rsid w:val="00302014"/>
    <w:rsid w:val="00303531"/>
    <w:rsid w:val="003055E8"/>
    <w:rsid w:val="003121F4"/>
    <w:rsid w:val="00314E2A"/>
    <w:rsid w:val="00315697"/>
    <w:rsid w:val="00321E18"/>
    <w:rsid w:val="00322557"/>
    <w:rsid w:val="00330497"/>
    <w:rsid w:val="0033611C"/>
    <w:rsid w:val="00342963"/>
    <w:rsid w:val="00354ED9"/>
    <w:rsid w:val="00370FE4"/>
    <w:rsid w:val="0037438B"/>
    <w:rsid w:val="0037456D"/>
    <w:rsid w:val="00380049"/>
    <w:rsid w:val="00383C3E"/>
    <w:rsid w:val="00383CD6"/>
    <w:rsid w:val="00383DDC"/>
    <w:rsid w:val="00390E12"/>
    <w:rsid w:val="00394DA9"/>
    <w:rsid w:val="00396A2C"/>
    <w:rsid w:val="003A0720"/>
    <w:rsid w:val="003A25C6"/>
    <w:rsid w:val="003B6157"/>
    <w:rsid w:val="003C2003"/>
    <w:rsid w:val="003C256F"/>
    <w:rsid w:val="003C34F9"/>
    <w:rsid w:val="003C6F6F"/>
    <w:rsid w:val="003E4B12"/>
    <w:rsid w:val="003F4567"/>
    <w:rsid w:val="003F4EBA"/>
    <w:rsid w:val="004031C3"/>
    <w:rsid w:val="00404F8A"/>
    <w:rsid w:val="004051FB"/>
    <w:rsid w:val="00405C46"/>
    <w:rsid w:val="00436273"/>
    <w:rsid w:val="00437AC3"/>
    <w:rsid w:val="0044050D"/>
    <w:rsid w:val="00441A89"/>
    <w:rsid w:val="004556ED"/>
    <w:rsid w:val="00457DFC"/>
    <w:rsid w:val="004605C0"/>
    <w:rsid w:val="004654C5"/>
    <w:rsid w:val="0049162D"/>
    <w:rsid w:val="004A1ED2"/>
    <w:rsid w:val="004A2698"/>
    <w:rsid w:val="004A76C1"/>
    <w:rsid w:val="004B3857"/>
    <w:rsid w:val="004B7218"/>
    <w:rsid w:val="004C1985"/>
    <w:rsid w:val="004C5EAE"/>
    <w:rsid w:val="004D61B5"/>
    <w:rsid w:val="004E3D16"/>
    <w:rsid w:val="004E61A9"/>
    <w:rsid w:val="004F36A6"/>
    <w:rsid w:val="004F47B8"/>
    <w:rsid w:val="004F6D04"/>
    <w:rsid w:val="004F7D38"/>
    <w:rsid w:val="00500FF3"/>
    <w:rsid w:val="00510E4F"/>
    <w:rsid w:val="005134F2"/>
    <w:rsid w:val="005242EF"/>
    <w:rsid w:val="00542F9B"/>
    <w:rsid w:val="0054652D"/>
    <w:rsid w:val="00547D32"/>
    <w:rsid w:val="005521B0"/>
    <w:rsid w:val="00557325"/>
    <w:rsid w:val="00562199"/>
    <w:rsid w:val="005632C7"/>
    <w:rsid w:val="00566E75"/>
    <w:rsid w:val="00570189"/>
    <w:rsid w:val="00570A95"/>
    <w:rsid w:val="00584046"/>
    <w:rsid w:val="00584E1D"/>
    <w:rsid w:val="00597EBE"/>
    <w:rsid w:val="005A2C4F"/>
    <w:rsid w:val="005A4474"/>
    <w:rsid w:val="005A58AB"/>
    <w:rsid w:val="005B0CC3"/>
    <w:rsid w:val="005B0E64"/>
    <w:rsid w:val="005B1CA0"/>
    <w:rsid w:val="005B41B3"/>
    <w:rsid w:val="005D16CE"/>
    <w:rsid w:val="005D3BFA"/>
    <w:rsid w:val="005D6DD1"/>
    <w:rsid w:val="005E6E15"/>
    <w:rsid w:val="005F3E19"/>
    <w:rsid w:val="005F6E70"/>
    <w:rsid w:val="0060397E"/>
    <w:rsid w:val="006054FB"/>
    <w:rsid w:val="0060551C"/>
    <w:rsid w:val="006129F3"/>
    <w:rsid w:val="00612CD5"/>
    <w:rsid w:val="0061402F"/>
    <w:rsid w:val="006204BA"/>
    <w:rsid w:val="00630E42"/>
    <w:rsid w:val="00637D43"/>
    <w:rsid w:val="0068430F"/>
    <w:rsid w:val="0069639D"/>
    <w:rsid w:val="00696795"/>
    <w:rsid w:val="00696BEA"/>
    <w:rsid w:val="006A34D7"/>
    <w:rsid w:val="006A378C"/>
    <w:rsid w:val="006A77F2"/>
    <w:rsid w:val="006B30AF"/>
    <w:rsid w:val="006B4752"/>
    <w:rsid w:val="006C3B90"/>
    <w:rsid w:val="006D4C66"/>
    <w:rsid w:val="006E4601"/>
    <w:rsid w:val="006E4A59"/>
    <w:rsid w:val="00707507"/>
    <w:rsid w:val="007149F5"/>
    <w:rsid w:val="007157E2"/>
    <w:rsid w:val="00715FC0"/>
    <w:rsid w:val="007177F8"/>
    <w:rsid w:val="00720CCB"/>
    <w:rsid w:val="007257FC"/>
    <w:rsid w:val="00744306"/>
    <w:rsid w:val="00746EE5"/>
    <w:rsid w:val="00750D5D"/>
    <w:rsid w:val="00753240"/>
    <w:rsid w:val="0076742F"/>
    <w:rsid w:val="00771179"/>
    <w:rsid w:val="00782096"/>
    <w:rsid w:val="0078270C"/>
    <w:rsid w:val="007827FC"/>
    <w:rsid w:val="0078344B"/>
    <w:rsid w:val="00791AD9"/>
    <w:rsid w:val="007A097D"/>
    <w:rsid w:val="007C0090"/>
    <w:rsid w:val="007C07CD"/>
    <w:rsid w:val="007C7F6F"/>
    <w:rsid w:val="007D1E29"/>
    <w:rsid w:val="007D3FA0"/>
    <w:rsid w:val="007E19F6"/>
    <w:rsid w:val="007E502B"/>
    <w:rsid w:val="007F3E4D"/>
    <w:rsid w:val="008006E3"/>
    <w:rsid w:val="00804836"/>
    <w:rsid w:val="00805BAC"/>
    <w:rsid w:val="00814A85"/>
    <w:rsid w:val="00814D77"/>
    <w:rsid w:val="00825EBB"/>
    <w:rsid w:val="0082653F"/>
    <w:rsid w:val="0083127E"/>
    <w:rsid w:val="00837EDA"/>
    <w:rsid w:val="008404C3"/>
    <w:rsid w:val="00854B96"/>
    <w:rsid w:val="00856C0C"/>
    <w:rsid w:val="00857CF0"/>
    <w:rsid w:val="00860FE8"/>
    <w:rsid w:val="00864C7B"/>
    <w:rsid w:val="0087081A"/>
    <w:rsid w:val="008961A8"/>
    <w:rsid w:val="008E03D6"/>
    <w:rsid w:val="008E1176"/>
    <w:rsid w:val="008F2FE7"/>
    <w:rsid w:val="008F457D"/>
    <w:rsid w:val="008F68C7"/>
    <w:rsid w:val="00903580"/>
    <w:rsid w:val="00905A94"/>
    <w:rsid w:val="00912F30"/>
    <w:rsid w:val="00916B73"/>
    <w:rsid w:val="009170C5"/>
    <w:rsid w:val="009301F1"/>
    <w:rsid w:val="00940AAE"/>
    <w:rsid w:val="00941BAB"/>
    <w:rsid w:val="00961766"/>
    <w:rsid w:val="009633B0"/>
    <w:rsid w:val="009756C2"/>
    <w:rsid w:val="00977BDF"/>
    <w:rsid w:val="0098349D"/>
    <w:rsid w:val="009B4AA6"/>
    <w:rsid w:val="009B6419"/>
    <w:rsid w:val="009B6F4A"/>
    <w:rsid w:val="009C65E6"/>
    <w:rsid w:val="009D191A"/>
    <w:rsid w:val="009D2C9F"/>
    <w:rsid w:val="009E3DF0"/>
    <w:rsid w:val="009E702F"/>
    <w:rsid w:val="009E7877"/>
    <w:rsid w:val="009F61C1"/>
    <w:rsid w:val="00A01AAB"/>
    <w:rsid w:val="00A0274C"/>
    <w:rsid w:val="00A0707B"/>
    <w:rsid w:val="00A22A50"/>
    <w:rsid w:val="00A27029"/>
    <w:rsid w:val="00A320CC"/>
    <w:rsid w:val="00A340AE"/>
    <w:rsid w:val="00A370D1"/>
    <w:rsid w:val="00A41A3B"/>
    <w:rsid w:val="00A51924"/>
    <w:rsid w:val="00A53C75"/>
    <w:rsid w:val="00A55AC0"/>
    <w:rsid w:val="00A577F5"/>
    <w:rsid w:val="00A6085F"/>
    <w:rsid w:val="00A61AB8"/>
    <w:rsid w:val="00A62F09"/>
    <w:rsid w:val="00A7677C"/>
    <w:rsid w:val="00A80B86"/>
    <w:rsid w:val="00A81B32"/>
    <w:rsid w:val="00A837F7"/>
    <w:rsid w:val="00A86705"/>
    <w:rsid w:val="00A903E5"/>
    <w:rsid w:val="00A96584"/>
    <w:rsid w:val="00AA2926"/>
    <w:rsid w:val="00AA410E"/>
    <w:rsid w:val="00AA4F65"/>
    <w:rsid w:val="00AA7AD8"/>
    <w:rsid w:val="00AB172E"/>
    <w:rsid w:val="00AB3EB4"/>
    <w:rsid w:val="00AB6E07"/>
    <w:rsid w:val="00AC3767"/>
    <w:rsid w:val="00AC490A"/>
    <w:rsid w:val="00AC4E01"/>
    <w:rsid w:val="00AE3535"/>
    <w:rsid w:val="00AE502C"/>
    <w:rsid w:val="00AE5D06"/>
    <w:rsid w:val="00AF55DF"/>
    <w:rsid w:val="00AF660D"/>
    <w:rsid w:val="00B03BD7"/>
    <w:rsid w:val="00B17C7F"/>
    <w:rsid w:val="00B36BF4"/>
    <w:rsid w:val="00B37CDC"/>
    <w:rsid w:val="00B44848"/>
    <w:rsid w:val="00B463E2"/>
    <w:rsid w:val="00B47621"/>
    <w:rsid w:val="00B541F3"/>
    <w:rsid w:val="00B65EC2"/>
    <w:rsid w:val="00B71743"/>
    <w:rsid w:val="00B83D7C"/>
    <w:rsid w:val="00B85390"/>
    <w:rsid w:val="00B8734E"/>
    <w:rsid w:val="00B9111F"/>
    <w:rsid w:val="00BA22F4"/>
    <w:rsid w:val="00BB27FE"/>
    <w:rsid w:val="00BB41F0"/>
    <w:rsid w:val="00BC4D06"/>
    <w:rsid w:val="00BC7281"/>
    <w:rsid w:val="00BD0696"/>
    <w:rsid w:val="00BD401F"/>
    <w:rsid w:val="00BD7ADC"/>
    <w:rsid w:val="00BF0110"/>
    <w:rsid w:val="00C00D74"/>
    <w:rsid w:val="00C0716B"/>
    <w:rsid w:val="00C20122"/>
    <w:rsid w:val="00C2521C"/>
    <w:rsid w:val="00C4182B"/>
    <w:rsid w:val="00C474E1"/>
    <w:rsid w:val="00C501AA"/>
    <w:rsid w:val="00C5131A"/>
    <w:rsid w:val="00C578C1"/>
    <w:rsid w:val="00C629B1"/>
    <w:rsid w:val="00C65E10"/>
    <w:rsid w:val="00C66238"/>
    <w:rsid w:val="00C74941"/>
    <w:rsid w:val="00C80B06"/>
    <w:rsid w:val="00C8558A"/>
    <w:rsid w:val="00C936A6"/>
    <w:rsid w:val="00CA7322"/>
    <w:rsid w:val="00CB50C2"/>
    <w:rsid w:val="00CB5C5A"/>
    <w:rsid w:val="00CB5FBC"/>
    <w:rsid w:val="00CB60B4"/>
    <w:rsid w:val="00CB7EDD"/>
    <w:rsid w:val="00CC20F2"/>
    <w:rsid w:val="00CD4A9D"/>
    <w:rsid w:val="00CD72B8"/>
    <w:rsid w:val="00D0026B"/>
    <w:rsid w:val="00D02804"/>
    <w:rsid w:val="00D10DB3"/>
    <w:rsid w:val="00D14059"/>
    <w:rsid w:val="00D16D68"/>
    <w:rsid w:val="00D24116"/>
    <w:rsid w:val="00D31D03"/>
    <w:rsid w:val="00D41A10"/>
    <w:rsid w:val="00D41E87"/>
    <w:rsid w:val="00D42DCE"/>
    <w:rsid w:val="00D43FDF"/>
    <w:rsid w:val="00D46969"/>
    <w:rsid w:val="00D46C1A"/>
    <w:rsid w:val="00D4792D"/>
    <w:rsid w:val="00D50454"/>
    <w:rsid w:val="00D52BEA"/>
    <w:rsid w:val="00D53B30"/>
    <w:rsid w:val="00D607EB"/>
    <w:rsid w:val="00D664FB"/>
    <w:rsid w:val="00D82B26"/>
    <w:rsid w:val="00D834EE"/>
    <w:rsid w:val="00D839EA"/>
    <w:rsid w:val="00D842A5"/>
    <w:rsid w:val="00D95EB5"/>
    <w:rsid w:val="00D96636"/>
    <w:rsid w:val="00D96F3A"/>
    <w:rsid w:val="00D97B5C"/>
    <w:rsid w:val="00DA0441"/>
    <w:rsid w:val="00DB7E71"/>
    <w:rsid w:val="00DC177B"/>
    <w:rsid w:val="00DC4ED9"/>
    <w:rsid w:val="00DC6878"/>
    <w:rsid w:val="00DD699E"/>
    <w:rsid w:val="00DE2744"/>
    <w:rsid w:val="00DE7047"/>
    <w:rsid w:val="00E03DDC"/>
    <w:rsid w:val="00E07FE2"/>
    <w:rsid w:val="00E1511F"/>
    <w:rsid w:val="00E2373F"/>
    <w:rsid w:val="00E26843"/>
    <w:rsid w:val="00E30871"/>
    <w:rsid w:val="00E30F65"/>
    <w:rsid w:val="00E3313A"/>
    <w:rsid w:val="00E3381D"/>
    <w:rsid w:val="00E51F4E"/>
    <w:rsid w:val="00E53401"/>
    <w:rsid w:val="00E65CFB"/>
    <w:rsid w:val="00E660FA"/>
    <w:rsid w:val="00E74ABD"/>
    <w:rsid w:val="00E8126F"/>
    <w:rsid w:val="00E8282F"/>
    <w:rsid w:val="00E94340"/>
    <w:rsid w:val="00E97171"/>
    <w:rsid w:val="00EA7C51"/>
    <w:rsid w:val="00EB25EF"/>
    <w:rsid w:val="00EB5746"/>
    <w:rsid w:val="00EB6F5B"/>
    <w:rsid w:val="00ED1FB5"/>
    <w:rsid w:val="00EE5BC2"/>
    <w:rsid w:val="00EF474D"/>
    <w:rsid w:val="00F00894"/>
    <w:rsid w:val="00F109F1"/>
    <w:rsid w:val="00F20180"/>
    <w:rsid w:val="00F276D5"/>
    <w:rsid w:val="00F31DFF"/>
    <w:rsid w:val="00F3420D"/>
    <w:rsid w:val="00F363F7"/>
    <w:rsid w:val="00F4232B"/>
    <w:rsid w:val="00F453D0"/>
    <w:rsid w:val="00F5454C"/>
    <w:rsid w:val="00F62BCC"/>
    <w:rsid w:val="00F638AD"/>
    <w:rsid w:val="00F74B3F"/>
    <w:rsid w:val="00F76564"/>
    <w:rsid w:val="00F8066B"/>
    <w:rsid w:val="00F81C50"/>
    <w:rsid w:val="00F81F6B"/>
    <w:rsid w:val="00F87B46"/>
    <w:rsid w:val="00FC0CC2"/>
    <w:rsid w:val="00FC17B5"/>
    <w:rsid w:val="00FC4110"/>
    <w:rsid w:val="00FD0917"/>
    <w:rsid w:val="00FD20C4"/>
    <w:rsid w:val="00FD2CC5"/>
    <w:rsid w:val="00FE3947"/>
    <w:rsid w:val="00FF77E4"/>
    <w:rsid w:val="00FF7D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14E6"/>
  <w15:docId w15:val="{76AF52F4-8ABF-4FF7-AE2E-963DEE21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link w:val="Heading1Char"/>
    <w:uiPriority w:val="9"/>
    <w:qFormat/>
    <w:rsid w:val="00CC20F2"/>
    <w:pPr>
      <w:widowControl w:val="0"/>
      <w:autoSpaceDE w:val="0"/>
      <w:autoSpaceDN w:val="0"/>
      <w:spacing w:before="226" w:after="0" w:line="240" w:lineRule="auto"/>
      <w:ind w:left="100"/>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0D1"/>
  </w:style>
  <w:style w:type="paragraph" w:styleId="Footer">
    <w:name w:val="footer"/>
    <w:basedOn w:val="Normal"/>
    <w:link w:val="FooterChar"/>
    <w:uiPriority w:val="99"/>
    <w:unhideWhenUsed/>
    <w:rsid w:val="00A37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0D1"/>
  </w:style>
  <w:style w:type="character" w:customStyle="1" w:styleId="hwtze">
    <w:name w:val="hwtze"/>
    <w:basedOn w:val="DefaultParagraphFont"/>
    <w:rsid w:val="00BA22F4"/>
  </w:style>
  <w:style w:type="character" w:customStyle="1" w:styleId="rynqvb">
    <w:name w:val="rynqvb"/>
    <w:basedOn w:val="DefaultParagraphFont"/>
    <w:rsid w:val="00BA22F4"/>
  </w:style>
  <w:style w:type="character" w:styleId="Hyperlink">
    <w:name w:val="Hyperlink"/>
    <w:uiPriority w:val="99"/>
    <w:unhideWhenUsed/>
    <w:rsid w:val="0012272F"/>
    <w:rPr>
      <w:color w:val="0563C1"/>
      <w:u w:val="single"/>
    </w:rPr>
  </w:style>
  <w:style w:type="character" w:customStyle="1" w:styleId="UnresolvedMention1">
    <w:name w:val="Unresolved Mention1"/>
    <w:uiPriority w:val="99"/>
    <w:semiHidden/>
    <w:unhideWhenUsed/>
    <w:rsid w:val="0012272F"/>
    <w:rPr>
      <w:color w:val="605E5C"/>
      <w:shd w:val="clear" w:color="auto" w:fill="E1DFDD"/>
    </w:rPr>
  </w:style>
  <w:style w:type="table" w:styleId="TableGrid">
    <w:name w:val="Table Grid"/>
    <w:basedOn w:val="TableNormal"/>
    <w:uiPriority w:val="39"/>
    <w:rsid w:val="00E53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3B30"/>
    <w:rPr>
      <w:color w:val="605E5C"/>
      <w:shd w:val="clear" w:color="auto" w:fill="E1DFDD"/>
    </w:rPr>
  </w:style>
  <w:style w:type="character" w:styleId="CommentReference">
    <w:name w:val="annotation reference"/>
    <w:basedOn w:val="DefaultParagraphFont"/>
    <w:uiPriority w:val="99"/>
    <w:semiHidden/>
    <w:unhideWhenUsed/>
    <w:rsid w:val="009E3DF0"/>
    <w:rPr>
      <w:sz w:val="16"/>
      <w:szCs w:val="16"/>
    </w:rPr>
  </w:style>
  <w:style w:type="paragraph" w:styleId="CommentText">
    <w:name w:val="annotation text"/>
    <w:basedOn w:val="Normal"/>
    <w:link w:val="CommentTextChar"/>
    <w:uiPriority w:val="99"/>
    <w:semiHidden/>
    <w:unhideWhenUsed/>
    <w:rsid w:val="009E3DF0"/>
    <w:pPr>
      <w:spacing w:line="240" w:lineRule="auto"/>
    </w:pPr>
    <w:rPr>
      <w:sz w:val="20"/>
      <w:szCs w:val="20"/>
    </w:rPr>
  </w:style>
  <w:style w:type="character" w:customStyle="1" w:styleId="CommentTextChar">
    <w:name w:val="Comment Text Char"/>
    <w:basedOn w:val="DefaultParagraphFont"/>
    <w:link w:val="CommentText"/>
    <w:uiPriority w:val="99"/>
    <w:semiHidden/>
    <w:rsid w:val="009E3DF0"/>
    <w:rPr>
      <w:lang w:val="en-US" w:eastAsia="en-US"/>
    </w:rPr>
  </w:style>
  <w:style w:type="paragraph" w:styleId="CommentSubject">
    <w:name w:val="annotation subject"/>
    <w:basedOn w:val="CommentText"/>
    <w:next w:val="CommentText"/>
    <w:link w:val="CommentSubjectChar"/>
    <w:uiPriority w:val="99"/>
    <w:semiHidden/>
    <w:unhideWhenUsed/>
    <w:rsid w:val="009E3DF0"/>
    <w:rPr>
      <w:b/>
      <w:bCs/>
    </w:rPr>
  </w:style>
  <w:style w:type="character" w:customStyle="1" w:styleId="CommentSubjectChar">
    <w:name w:val="Comment Subject Char"/>
    <w:basedOn w:val="CommentTextChar"/>
    <w:link w:val="CommentSubject"/>
    <w:uiPriority w:val="99"/>
    <w:semiHidden/>
    <w:rsid w:val="009E3DF0"/>
    <w:rPr>
      <w:b/>
      <w:bCs/>
      <w:lang w:val="en-US" w:eastAsia="en-US"/>
    </w:rPr>
  </w:style>
  <w:style w:type="paragraph" w:styleId="ListParagraph">
    <w:name w:val="List Paragraph"/>
    <w:basedOn w:val="Normal"/>
    <w:uiPriority w:val="34"/>
    <w:qFormat/>
    <w:rsid w:val="00A22A50"/>
    <w:pPr>
      <w:ind w:left="720"/>
      <w:contextualSpacing/>
    </w:pPr>
  </w:style>
  <w:style w:type="paragraph" w:customStyle="1" w:styleId="TableParagraph">
    <w:name w:val="Table Paragraph"/>
    <w:basedOn w:val="Normal"/>
    <w:uiPriority w:val="1"/>
    <w:qFormat/>
    <w:rsid w:val="00916B73"/>
    <w:pPr>
      <w:widowControl w:val="0"/>
      <w:autoSpaceDE w:val="0"/>
      <w:autoSpaceDN w:val="0"/>
      <w:spacing w:before="8" w:after="0" w:line="240" w:lineRule="auto"/>
      <w:ind w:left="2"/>
    </w:pPr>
    <w:rPr>
      <w:rFonts w:ascii="Times New Roman" w:eastAsia="Times New Roman" w:hAnsi="Times New Roman" w:cs="Times New Roman"/>
    </w:rPr>
  </w:style>
  <w:style w:type="paragraph" w:styleId="BodyText">
    <w:name w:val="Body Text"/>
    <w:basedOn w:val="Normal"/>
    <w:link w:val="BodyTextChar"/>
    <w:uiPriority w:val="1"/>
    <w:qFormat/>
    <w:rsid w:val="00CC20F2"/>
    <w:pPr>
      <w:widowControl w:val="0"/>
      <w:autoSpaceDE w:val="0"/>
      <w:autoSpaceDN w:val="0"/>
      <w:spacing w:before="123" w:after="0" w:line="240" w:lineRule="auto"/>
      <w:ind w:left="10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C20F2"/>
    <w:rPr>
      <w:rFonts w:ascii="Times New Roman" w:eastAsia="Times New Roman" w:hAnsi="Times New Roman" w:cs="Times New Roman"/>
      <w:sz w:val="22"/>
      <w:szCs w:val="22"/>
      <w:lang w:val="en-US" w:eastAsia="en-US"/>
    </w:rPr>
  </w:style>
  <w:style w:type="character" w:customStyle="1" w:styleId="Heading1Char">
    <w:name w:val="Heading 1 Char"/>
    <w:basedOn w:val="DefaultParagraphFont"/>
    <w:link w:val="Heading1"/>
    <w:uiPriority w:val="9"/>
    <w:rsid w:val="00CC20F2"/>
    <w:rPr>
      <w:rFonts w:ascii="Times New Roman" w:eastAsia="Times New Roman" w:hAnsi="Times New Roman" w:cs="Times New Roman"/>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ubiserwinjunaid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25A98-C009-4029-98D4-E926335D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5248</Words>
  <Characters>29916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Ramdan Rohadiat</dc:creator>
  <cp:lastModifiedBy>HP</cp:lastModifiedBy>
  <cp:revision>2</cp:revision>
  <cp:lastPrinted>2025-08-20T05:22:00Z</cp:lastPrinted>
  <dcterms:created xsi:type="dcterms:W3CDTF">2025-08-20T05:25:00Z</dcterms:created>
  <dcterms:modified xsi:type="dcterms:W3CDTF">2025-08-20T05:25:00Z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0e248cf09d1633d0ac7bf4f93e1a012f5939c930651c1d8a7afd3412d5b741f9</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http://www.zotero.org/styles/apa</vt:lpwstr>
  </property>
  <property fmtid="{D5CDD505-2E9C-101B-9397-08002B2CF9AE}" pid="6" name="Mendeley Recent Style Id 1_1">
    <vt:lpwstr>http://www.zotero.org/styles/harvard-anglia-ruskin-university</vt:lpwstr>
  </property>
  <property fmtid="{D5CDD505-2E9C-101B-9397-08002B2CF9AE}" pid="7" name="Mendeley Recent Style Id 2_1">
    <vt:lpwstr>http://www.zotero.org/styles/chicago-author-date</vt:lpwstr>
  </property>
  <property fmtid="{D5CDD505-2E9C-101B-9397-08002B2CF9AE}" pid="8" name="Mendeley Recent Style Id 3_1">
    <vt:lpwstr>http://www.zotero.org/styles/chicago-fullnote-bibliography</vt:lpwstr>
  </property>
  <property fmtid="{D5CDD505-2E9C-101B-9397-08002B2CF9AE}" pid="9" name="Mendeley Recent Style Id 4_1">
    <vt:lpwstr>http://www.zotero.org/styles/chicago-note-bibliography</vt:lpwstr>
  </property>
  <property fmtid="{D5CDD505-2E9C-101B-9397-08002B2CF9AE}" pid="10" name="Mendeley Recent Style Id 5_1">
    <vt:lpwstr>http://www.zotero.org/styles/harvard-cite-them-right-10th-edition</vt:lpwstr>
  </property>
  <property fmtid="{D5CDD505-2E9C-101B-9397-08002B2CF9AE}" pid="11" name="Mendeley Recent Style Id 6_1">
    <vt:lpwstr>http://www.zotero.org/styles/harvard-cite-them-right</vt:lpwstr>
  </property>
  <property fmtid="{D5CDD505-2E9C-101B-9397-08002B2CF9AE}" pid="12" name="Mendeley Recent Style Id 7_1">
    <vt:lpwstr>http://www.zotero.org/styles/harvard-educational-review</vt:lpwstr>
  </property>
  <property fmtid="{D5CDD505-2E9C-101B-9397-08002B2CF9AE}" pid="13" name="Mendeley Recent Style Id 8_1">
    <vt:lpwstr>http://www.zotero.org/styles/ieee</vt:lpwstr>
  </property>
  <property fmtid="{D5CDD505-2E9C-101B-9397-08002B2CF9AE}" pid="14" name="Mendeley Recent Style Id 9_1">
    <vt:lpwstr>http://www.zotero.org/styles/vancouver</vt:lpwstr>
  </property>
  <property fmtid="{D5CDD505-2E9C-101B-9397-08002B2CF9AE}" pid="15" name="Mendeley Recent Style Name 0_1">
    <vt:lpwstr>American Psychological Association 7th edition</vt:lpwstr>
  </property>
  <property fmtid="{D5CDD505-2E9C-101B-9397-08002B2CF9AE}" pid="16" name="Mendeley Recent Style Name 1_1">
    <vt:lpwstr>Anglia Ruskin University - Harvard</vt:lpwstr>
  </property>
  <property fmtid="{D5CDD505-2E9C-101B-9397-08002B2CF9AE}" pid="17" name="Mendeley Recent Style Name 2_1">
    <vt:lpwstr>Chicago Manual of Style 17th edition (author-date)</vt:lpwstr>
  </property>
  <property fmtid="{D5CDD505-2E9C-101B-9397-08002B2CF9AE}" pid="18" name="Mendeley Recent Style Name 3_1">
    <vt:lpwstr>Chicago Manual of Style 17th edition (full note)</vt:lpwstr>
  </property>
  <property fmtid="{D5CDD505-2E9C-101B-9397-08002B2CF9AE}" pid="19" name="Mendeley Recent Style Name 4_1">
    <vt:lpwstr>Chicago Manual of Style 17th edition (note)</vt:lpwstr>
  </property>
  <property fmtid="{D5CDD505-2E9C-101B-9397-08002B2CF9AE}" pid="20" name="Mendeley Recent Style Name 5_1">
    <vt:lpwstr>Cite Them Right 10th edition - Harvard</vt:lpwstr>
  </property>
  <property fmtid="{D5CDD505-2E9C-101B-9397-08002B2CF9AE}" pid="21" name="Mendeley Recent Style Name 6_1">
    <vt:lpwstr>Cite Them Right 12th edition - Harvard</vt:lpwstr>
  </property>
  <property fmtid="{D5CDD505-2E9C-101B-9397-08002B2CF9AE}" pid="22" name="Mendeley Recent Style Name 7_1">
    <vt:lpwstr>Harvard Educational Review</vt:lpwstr>
  </property>
  <property fmtid="{D5CDD505-2E9C-101B-9397-08002B2CF9AE}" pid="23" name="Mendeley Recent Style Name 8_1">
    <vt:lpwstr>IEEE</vt:lpwstr>
  </property>
  <property fmtid="{D5CDD505-2E9C-101B-9397-08002B2CF9AE}" pid="24" name="Mendeley Recent Style Name 9_1">
    <vt:lpwstr>Vancouver</vt:lpwstr>
  </property>
  <property fmtid="{D5CDD505-2E9C-101B-9397-08002B2CF9AE}" pid="25" name="Mendeley Unique User Id_1">
    <vt:lpwstr>cf74ea98-af61-3215-866f-da60a2a020b3</vt:lpwstr>
  </property>
</Properties>
</file>